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34" w:rsidRPr="008D7667" w:rsidRDefault="00AB7B34">
      <w:pPr>
        <w:rPr>
          <w:rFonts w:ascii="Titillium Web" w:hAnsi="Titillium Web"/>
          <w:b/>
          <w:bCs/>
          <w:sz w:val="28"/>
          <w:szCs w:val="28"/>
        </w:rPr>
      </w:pPr>
      <w:bookmarkStart w:id="0" w:name="_GoBack"/>
      <w:r w:rsidRPr="008D7667">
        <w:rPr>
          <w:rFonts w:ascii="Titillium Web" w:hAnsi="Titillium Web"/>
          <w:b/>
          <w:bCs/>
          <w:sz w:val="28"/>
          <w:szCs w:val="28"/>
        </w:rPr>
        <w:t>Erlass des Bauministeriums zur Fortführung der Baustellen</w:t>
      </w:r>
    </w:p>
    <w:p w:rsidR="00AB7B34" w:rsidRPr="008D7667" w:rsidRDefault="00AB7B34">
      <w:pPr>
        <w:rPr>
          <w:rFonts w:ascii="Titillium Web" w:hAnsi="Titillium Web"/>
          <w:b/>
          <w:bCs/>
        </w:rPr>
      </w:pPr>
      <w:r w:rsidRPr="008D7667">
        <w:rPr>
          <w:rFonts w:ascii="Titillium Web" w:hAnsi="Titillium Web"/>
          <w:b/>
          <w:bCs/>
        </w:rPr>
        <w:t>Stand: Montag 23. März 2020</w:t>
      </w:r>
    </w:p>
    <w:p w:rsidR="00AB7B34" w:rsidRPr="008D7667" w:rsidRDefault="00AB7B34">
      <w:pPr>
        <w:rPr>
          <w:rFonts w:ascii="Titillium Web" w:hAnsi="Titillium Web"/>
        </w:rPr>
      </w:pPr>
    </w:p>
    <w:p w:rsidR="00AB7B34" w:rsidRPr="008D7667" w:rsidRDefault="00AB7B34">
      <w:pPr>
        <w:rPr>
          <w:rFonts w:ascii="Titillium Web" w:hAnsi="Titillium Web"/>
          <w:b/>
          <w:bCs/>
        </w:rPr>
      </w:pPr>
      <w:r w:rsidRPr="008D7667">
        <w:rPr>
          <w:rFonts w:ascii="Titillium Web" w:hAnsi="Titillium Web"/>
        </w:rPr>
        <w:t xml:space="preserve">Das Bundesministerium des Innern, für Bau und Heimat hat am Montag, </w:t>
      </w:r>
      <w:r w:rsidRPr="008D7667">
        <w:rPr>
          <w:rStyle w:val="cmpparseddate"/>
          <w:rFonts w:ascii="Titillium Web" w:hAnsi="Titillium Web"/>
        </w:rPr>
        <w:t>23. März</w:t>
      </w:r>
      <w:r w:rsidRPr="008D7667">
        <w:rPr>
          <w:rFonts w:ascii="Titillium Web" w:hAnsi="Titillium Web"/>
        </w:rPr>
        <w:t xml:space="preserve"> 2020, einen Erlass zur Fortführung der Baumaßnahmen, Handhabung von Bauablaufstörungen sowie zum Umgang mit Zahlungen herausgegeben. Der Erlass im Wortlaut siehe gesonderte Info.</w:t>
      </w:r>
      <w:r w:rsidRPr="008D7667">
        <w:rPr>
          <w:rFonts w:ascii="Titillium Web" w:hAnsi="Titillium Web"/>
        </w:rPr>
        <w:br/>
      </w:r>
      <w:r w:rsidRPr="008D7667">
        <w:rPr>
          <w:rFonts w:ascii="Titillium Web" w:hAnsi="Titillium Web"/>
        </w:rPr>
        <w:br/>
      </w:r>
      <w:r w:rsidRPr="008D7667">
        <w:rPr>
          <w:rFonts w:ascii="Titillium Web" w:hAnsi="Titillium Web"/>
          <w:b/>
          <w:bCs/>
        </w:rPr>
        <w:t>Fortführung der Baumaßnahmen</w:t>
      </w:r>
      <w:r w:rsidRPr="008D7667">
        <w:rPr>
          <w:rFonts w:ascii="Titillium Web" w:hAnsi="Titillium Web"/>
          <w:b/>
          <w:bCs/>
        </w:rPr>
        <w:br/>
      </w:r>
      <w:r w:rsidRPr="008D7667">
        <w:rPr>
          <w:rFonts w:ascii="Titillium Web" w:hAnsi="Titillium Web"/>
        </w:rPr>
        <w:br/>
        <w:t>Das Bundesbauministerium weist in seinem Erlass darauf hin, dass die Baustellen des Bundes möglichst weiter betrieben werden. Baumaßnahmen sollen erst eingestellt werden, wenn behördliche Maßnahmen dazu zwingen (z. B. Betretensverbote) oder aufgrund behördlicher Maßnahmen ein sinnvoller Weiterbetrieb nicht möglich ist (z. B. weil überwiegende Teile der Beschäftigten des Auftragnehmers unter Quarantäne gestellt worden sind).</w:t>
      </w:r>
      <w:r w:rsidRPr="008D7667">
        <w:rPr>
          <w:rFonts w:ascii="Titillium Web" w:hAnsi="Titillium Web"/>
        </w:rPr>
        <w:br/>
      </w:r>
      <w:r w:rsidRPr="008D7667">
        <w:rPr>
          <w:rFonts w:ascii="Titillium Web" w:hAnsi="Titillium Web"/>
        </w:rPr>
        <w:br/>
      </w:r>
      <w:r w:rsidRPr="008D7667">
        <w:rPr>
          <w:rFonts w:ascii="Titillium Web" w:hAnsi="Titillium Web"/>
          <w:b/>
          <w:bCs/>
        </w:rPr>
        <w:t>Handhabung von Bauablaufstörungen</w:t>
      </w:r>
    </w:p>
    <w:p w:rsidR="00626844" w:rsidRPr="008D7667" w:rsidRDefault="00AB7B34">
      <w:pPr>
        <w:rPr>
          <w:rFonts w:ascii="Titillium Web" w:hAnsi="Titillium Web"/>
        </w:rPr>
      </w:pPr>
      <w:r w:rsidRPr="008D7667">
        <w:rPr>
          <w:rFonts w:ascii="Titillium Web" w:hAnsi="Titillium Web"/>
        </w:rPr>
        <w:br/>
        <w:t xml:space="preserve">Im Hinblick auf den vertragsrechtlichen Umgang mit Bauablaufstörungen weist das Bauministerium darauf hin, dass die </w:t>
      </w:r>
      <w:r w:rsidRPr="008D7667">
        <w:rPr>
          <w:rFonts w:ascii="Titillium Web" w:hAnsi="Titillium Web"/>
          <w:b/>
          <w:bCs/>
        </w:rPr>
        <w:t>Coronavirus-Pandemie grundsätzlich geeignet ist, den Tatbestand der höheren Gewalt im Sinne von § 6 Abs. 2 Nr. 1 lit. c VOB/B auszulösen</w:t>
      </w:r>
      <w:r w:rsidRPr="008D7667">
        <w:rPr>
          <w:rFonts w:ascii="Titillium Web" w:hAnsi="Titillium Web"/>
        </w:rPr>
        <w:t>. Allerdings wird auch darauf verwiesen, dass die Tatbestandsvoraussetzungen von höherer Gewalt auch in der jetzigen Ausnahmesituation nicht pauschal angenommen werden können, sondern im Einzelfall geprüft werden müssen. Grundsätzlich muss derjenige, der sich auf höhere Gewalt beruft, die diese begründenden Umstände darlegen und ggf. beweisen. Beruft sich der Unternehmer also auf höhere Gewalt, müsste er darlegen, warum er seine Leistung nicht erbringen kann. Das kann z.B. der Fall sein, weil</w:t>
      </w:r>
      <w:r w:rsidRPr="008D7667">
        <w:rPr>
          <w:rFonts w:ascii="Titillium Web" w:hAnsi="Titillium Web"/>
        </w:rPr>
        <w:br/>
        <w:t>ein Großteil der Beschäftigten behördenseitig unter Quarantäne gestellt ist und er auf dem Arbeitsmarkt oder durch Nachunternehmer keinen Ersatz finden kann, seine Beschäftigten aufgrund von Reisebeschränkungen die Baustelle nicht erreichen können und kein Ersatz möglich ist,</w:t>
      </w:r>
      <w:r w:rsidRPr="008D7667">
        <w:rPr>
          <w:rFonts w:ascii="Titillium Web" w:hAnsi="Titillium Web"/>
        </w:rPr>
        <w:br/>
        <w:t>er kein Baumaterial beschaffen kann.</w:t>
      </w:r>
      <w:r w:rsidRPr="008D7667">
        <w:rPr>
          <w:rFonts w:ascii="Titillium Web" w:hAnsi="Titillium Web"/>
        </w:rPr>
        <w:br/>
      </w:r>
      <w:r w:rsidRPr="008D7667">
        <w:rPr>
          <w:rFonts w:ascii="Titillium Web" w:hAnsi="Titillium Web"/>
        </w:rPr>
        <w:br/>
      </w:r>
      <w:r w:rsidRPr="008D7667">
        <w:rPr>
          <w:rFonts w:ascii="Titillium Web" w:hAnsi="Titillium Web"/>
        </w:rPr>
        <w:br/>
        <w:t>Das Bundesbauministerium verweist in diesem Zusammenhang darauf, dass Kostensteigerungen dabei nicht grundsätzlich unzumutbar sind.</w:t>
      </w:r>
      <w:r w:rsidRPr="008D7667">
        <w:rPr>
          <w:rFonts w:ascii="Titillium Web" w:hAnsi="Titillium Web"/>
        </w:rPr>
        <w:br/>
        <w:t xml:space="preserve">Auf Schwierigkeiten bei der Beschaffung von Bescheinigungen und Nachweisen soll mit Blick auf die Überlastung von Behörden und die stark reduzierte Geschäftstätigkeit der Privatwirtschaft </w:t>
      </w:r>
      <w:r w:rsidRPr="008D7667">
        <w:rPr>
          <w:rFonts w:ascii="Titillium Web" w:hAnsi="Titillium Web"/>
        </w:rPr>
        <w:lastRenderedPageBreak/>
        <w:t>Rücksicht genommen werden.</w:t>
      </w:r>
      <w:r w:rsidRPr="008D7667">
        <w:rPr>
          <w:rFonts w:ascii="Titillium Web" w:hAnsi="Titillium Web"/>
        </w:rPr>
        <w:br/>
      </w:r>
      <w:r w:rsidRPr="008D7667">
        <w:rPr>
          <w:rFonts w:ascii="Titillium Web" w:hAnsi="Titillium Web"/>
        </w:rPr>
        <w:br/>
      </w:r>
      <w:r w:rsidRPr="008D7667">
        <w:rPr>
          <w:rFonts w:ascii="Titillium Web" w:hAnsi="Titillium Web"/>
          <w:b/>
          <w:bCs/>
        </w:rPr>
        <w:t>Falls das Vorliegen höherer Gewalt im Einzelfall angenommen werden kann, verlängern sich Ausführungsfristen automatisch um die Dauer der Behinderung zzgl. eines angemessenen Zuschlags für die Wiederaufnahme der Arbeiten (§ 6 Abs. 4 VOB/B).</w:t>
      </w:r>
      <w:r w:rsidRPr="008D7667">
        <w:rPr>
          <w:rFonts w:ascii="Titillium Web" w:hAnsi="Titillium Web"/>
          <w:b/>
          <w:bCs/>
        </w:rPr>
        <w:br/>
      </w:r>
      <w:r w:rsidRPr="008D7667">
        <w:rPr>
          <w:rFonts w:ascii="Titillium Web" w:hAnsi="Titillium Web"/>
        </w:rPr>
        <w:br/>
        <w:t>Beruft sich der Auftragnehmer nach den o.g. Maßstäben zu recht auf höhere Gewalt, entstehen gegen ihn keine Schadens- oder Entschädigungsansprüche. Das Ministerium verweist darauf, dass bei höherer Gewalt regelmäßig auch der Auftraggeber nicht in Annahmeverzug gerät und die Voraussetzungen des § 642 BGB nicht vorliegen. Dies bedeutet, dass nach Auffassung des Bauministeriums der Auftraggeber nicht für Mehrkosten, die durch die Behinderung bzw. Verzögerung hervorgerufen werden, einzustehen hat.</w:t>
      </w:r>
      <w:r w:rsidRPr="008D7667">
        <w:rPr>
          <w:rFonts w:ascii="Titillium Web" w:hAnsi="Titillium Web"/>
        </w:rPr>
        <w:br/>
      </w:r>
      <w:r w:rsidRPr="008D7667">
        <w:rPr>
          <w:rFonts w:ascii="Titillium Web" w:hAnsi="Titillium Web"/>
        </w:rPr>
        <w:br/>
      </w:r>
      <w:r w:rsidRPr="008D7667">
        <w:rPr>
          <w:rFonts w:ascii="Titillium Web" w:hAnsi="Titillium Web"/>
          <w:b/>
          <w:bCs/>
        </w:rPr>
        <w:t>Zahlungen</w:t>
      </w:r>
      <w:r w:rsidRPr="008D7667">
        <w:rPr>
          <w:rFonts w:ascii="Titillium Web" w:hAnsi="Titillium Web"/>
        </w:rPr>
        <w:br/>
      </w:r>
      <w:r w:rsidRPr="008D7667">
        <w:rPr>
          <w:rFonts w:ascii="Titillium Web" w:hAnsi="Titillium Web"/>
        </w:rPr>
        <w:br/>
        <w:t>Das Bundesbauministerium betont, dass die unverzügliche Prüfung und Begleichung von Rechnungen in der jetzigen Situation einen besonders hohen Stellenwert haben. Es hält die Dienststellen an, dies durch geeignete organisatorische Maßnahmen sicherzustellen. In diesem Zusammenhang wird ausdrücklich auf die Möglichkeit hingewiesen, gegen Bürgschaftsleistung des Auftragnehmers Vorauszahlungen zu leisten (§ 16 Abs. 2 Nr. 1 VOB/B).</w:t>
      </w:r>
      <w:r w:rsidRPr="008D7667">
        <w:rPr>
          <w:rFonts w:ascii="Titillium Web" w:hAnsi="Titillium Web"/>
        </w:rPr>
        <w:br/>
      </w:r>
      <w:r w:rsidRPr="008D7667">
        <w:rPr>
          <w:rFonts w:ascii="Titillium Web" w:hAnsi="Titillium Web"/>
        </w:rPr>
        <w:br/>
      </w:r>
      <w:r w:rsidRPr="008D7667">
        <w:rPr>
          <w:rFonts w:ascii="Titillium Web" w:hAnsi="Titillium Web"/>
          <w:b/>
          <w:bCs/>
        </w:rPr>
        <w:t>Sofortiges Inkrafttreten</w:t>
      </w:r>
      <w:r w:rsidRPr="008D7667">
        <w:rPr>
          <w:rFonts w:ascii="Titillium Web" w:hAnsi="Titillium Web"/>
          <w:b/>
          <w:bCs/>
        </w:rPr>
        <w:br/>
      </w:r>
      <w:r w:rsidRPr="008D7667">
        <w:rPr>
          <w:rFonts w:ascii="Titillium Web" w:hAnsi="Titillium Web"/>
        </w:rPr>
        <w:br/>
        <w:t>Der Erlass gilt mit sofortiger Wirkung. Die Fachaufsicht führenden Ebenen sind angehalten, diesen Erlass unverzüglich an die baudurchführenden Ebenen weiterzugeben.</w:t>
      </w:r>
      <w:r w:rsidRPr="008D7667">
        <w:rPr>
          <w:rFonts w:ascii="Titillium Web" w:hAnsi="Titillium Web"/>
        </w:rPr>
        <w:br/>
      </w:r>
      <w:r w:rsidRPr="008D7667">
        <w:rPr>
          <w:rFonts w:ascii="Titillium Web" w:hAnsi="Titillium Web"/>
        </w:rPr>
        <w:br/>
      </w:r>
      <w:r w:rsidRPr="008D7667">
        <w:rPr>
          <w:rFonts w:ascii="Titillium Web" w:hAnsi="Titillium Web"/>
        </w:rPr>
        <w:br/>
      </w:r>
      <w:r w:rsidRPr="008D7667">
        <w:rPr>
          <w:rFonts w:ascii="Titillium Web" w:hAnsi="Titillium Web"/>
        </w:rPr>
        <w:br/>
      </w:r>
      <w:r w:rsidRPr="008D7667">
        <w:rPr>
          <w:rFonts w:ascii="Titillium Web" w:hAnsi="Titillium Web"/>
          <w:b/>
          <w:bCs/>
        </w:rPr>
        <w:t>Hinweis für die Unternehmer</w:t>
      </w:r>
      <w:r w:rsidRPr="008D7667">
        <w:rPr>
          <w:rFonts w:ascii="Titillium Web" w:hAnsi="Titillium Web"/>
        </w:rPr>
        <w:t xml:space="preserve">: </w:t>
      </w:r>
      <w:r w:rsidRPr="008D7667">
        <w:rPr>
          <w:rFonts w:ascii="Titillium Web" w:hAnsi="Titillium Web"/>
          <w:b/>
          <w:bCs/>
        </w:rPr>
        <w:t>Behinderungen dokumentieren</w:t>
      </w:r>
      <w:r w:rsidRPr="008D7667">
        <w:rPr>
          <w:rFonts w:ascii="Titillium Web" w:hAnsi="Titillium Web"/>
        </w:rPr>
        <w:br/>
      </w:r>
      <w:r w:rsidRPr="008D7667">
        <w:rPr>
          <w:rFonts w:ascii="Titillium Web" w:hAnsi="Titillium Web"/>
        </w:rPr>
        <w:br/>
        <w:t xml:space="preserve">An dieser Stelle wird nochmals darauf hingewiesen, dass die Unternehmer im eigenen Interesse sämtliche Behinderungen bzw. Verzögerungen, die sich aus der Coronavirus-Pandemie ergeben, dokumentieren und archivieren sollten. Dies gilt insbesondere für behördlicherseits angeordnete Quarantänemaßnahmen der eigenen Mitarbeiter oder der Mitarbeiter von eingesetzten Nachunternehmern, Reisebeschränkungen von Mitarbeitern, Ausfällen von Materiallieferungen, etc. Für eine Verlängerung der Bauzeit reicht es nicht aus, sich allgemein auf die weltweit bekannten Einschränkungen durch die Coronavirus-Pandemie zu berufen. Vielmehr obliegt es dem Unternehmer im Einzelfall baustellenbezogen nachzuweisen, in welchem Zeitraum und aus welchen Gründen die konkrete Baustelle durch die Coronavirus-Pandemie behindert war. Diese </w:t>
      </w:r>
      <w:r w:rsidRPr="008D7667">
        <w:rPr>
          <w:rFonts w:ascii="Titillium Web" w:hAnsi="Titillium Web"/>
        </w:rPr>
        <w:lastRenderedPageBreak/>
        <w:t>Behinderungen sollten zusätzlich immer zeitnah gegenüber dem Auftraggeber schriftlich angezeigt werden.</w:t>
      </w:r>
      <w:bookmarkEnd w:id="0"/>
    </w:p>
    <w:sectPr w:rsidR="00626844" w:rsidRPr="008D7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34"/>
    <w:rsid w:val="00626844"/>
    <w:rsid w:val="006B3BAD"/>
    <w:rsid w:val="008D7667"/>
    <w:rsid w:val="00AB7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B1D89-8140-4B22-9C71-4690FE0D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mpparseddate">
    <w:name w:val="cmp_parsed_date"/>
    <w:basedOn w:val="Absatz-Standardschriftart"/>
    <w:rsid w:val="00AB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3976</Characters>
  <Application>Microsoft Office Word</Application>
  <DocSecurity>0</DocSecurity>
  <Lines>33</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ra-reinders@live.com</dc:creator>
  <cp:keywords/>
  <dc:description/>
  <cp:lastModifiedBy>Christine Marzulla</cp:lastModifiedBy>
  <cp:revision>2</cp:revision>
  <dcterms:created xsi:type="dcterms:W3CDTF">2020-03-24T11:35:00Z</dcterms:created>
  <dcterms:modified xsi:type="dcterms:W3CDTF">2020-03-24T11:35:00Z</dcterms:modified>
</cp:coreProperties>
</file>