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41682787"/>
        <w:docPartObj>
          <w:docPartGallery w:val="Cover Pages"/>
          <w:docPartUnique/>
        </w:docPartObj>
      </w:sdtPr>
      <w:sdtEndPr>
        <w:rPr>
          <w:rFonts w:eastAsiaTheme="minorEastAsia"/>
          <w:color w:val="5B9BD5" w:themeColor="accent1"/>
          <w:lang w:eastAsia="de-DE"/>
        </w:rPr>
      </w:sdtEndPr>
      <w:sdtContent>
        <w:p w14:paraId="64CCB9E5" w14:textId="77777777" w:rsidR="00A17DAF" w:rsidRDefault="00A17DAF"/>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785"/>
          </w:tblGrid>
          <w:tr w:rsidR="00A17DAF" w14:paraId="4F713BB6" w14:textId="77777777">
            <w:tc>
              <w:tcPr>
                <w:tcW w:w="7672" w:type="dxa"/>
                <w:tcMar>
                  <w:top w:w="216" w:type="dxa"/>
                  <w:left w:w="115" w:type="dxa"/>
                  <w:bottom w:w="216" w:type="dxa"/>
                  <w:right w:w="115" w:type="dxa"/>
                </w:tcMar>
              </w:tcPr>
              <w:p w14:paraId="3031F33E" w14:textId="77777777" w:rsidR="00A17DAF" w:rsidRDefault="00337A2F">
                <w:pPr>
                  <w:pStyle w:val="KeinLeerraum"/>
                  <w:rPr>
                    <w:i/>
                    <w:color w:val="222A35" w:themeColor="text2" w:themeShade="80"/>
                    <w:sz w:val="36"/>
                    <w:szCs w:val="36"/>
                  </w:rPr>
                </w:pPr>
                <w:r w:rsidRPr="00337A2F">
                  <w:rPr>
                    <w:i/>
                    <w:color w:val="222A35" w:themeColor="text2" w:themeShade="80"/>
                    <w:sz w:val="36"/>
                    <w:szCs w:val="36"/>
                  </w:rPr>
                  <w:t>Bezeichnung der Bildungseinrichtung</w:t>
                </w:r>
              </w:p>
              <w:p w14:paraId="1D0477B6" w14:textId="49CC166B" w:rsidR="00723F7C" w:rsidRPr="00337A2F" w:rsidRDefault="00723F7C">
                <w:pPr>
                  <w:pStyle w:val="KeinLeerraum"/>
                  <w:rPr>
                    <w:i/>
                    <w:color w:val="222A35" w:themeColor="text2" w:themeShade="80"/>
                    <w:sz w:val="36"/>
                    <w:szCs w:val="36"/>
                  </w:rPr>
                </w:pPr>
              </w:p>
            </w:tc>
          </w:tr>
          <w:tr w:rsidR="00A17DAF" w14:paraId="6B145BD4" w14:textId="77777777">
            <w:tc>
              <w:tcPr>
                <w:tcW w:w="7672" w:type="dxa"/>
              </w:tcPr>
              <w:sdt>
                <w:sdtPr>
                  <w:rPr>
                    <w:color w:val="222A35" w:themeColor="text2" w:themeShade="80"/>
                    <w:sz w:val="56"/>
                    <w:szCs w:val="24"/>
                  </w:rPr>
                  <w:alias w:val="Titel"/>
                  <w:id w:val="13406919"/>
                  <w:placeholder>
                    <w:docPart w:val="C87D814E328C4DD5B2EBE70B2A017A49"/>
                  </w:placeholder>
                  <w:dataBinding w:prefixMappings="xmlns:ns0='http://schemas.openxmlformats.org/package/2006/metadata/core-properties' xmlns:ns1='http://purl.org/dc/elements/1.1/'" w:xpath="/ns0:coreProperties[1]/ns1:title[1]" w:storeItemID="{6C3C8BC8-F283-45AE-878A-BAB7291924A1}"/>
                  <w:text/>
                </w:sdtPr>
                <w:sdtEndPr/>
                <w:sdtContent>
                  <w:p w14:paraId="460C909B" w14:textId="77777777" w:rsidR="00A17DAF" w:rsidRPr="00E44F97" w:rsidRDefault="005C5FB2" w:rsidP="00A17DAF">
                    <w:pPr>
                      <w:pStyle w:val="KeinLeerraum"/>
                      <w:spacing w:line="216" w:lineRule="auto"/>
                      <w:rPr>
                        <w:rFonts w:asciiTheme="majorHAnsi" w:eastAsiaTheme="majorEastAsia" w:hAnsiTheme="majorHAnsi" w:cstheme="majorBidi"/>
                        <w:color w:val="222A35" w:themeColor="text2" w:themeShade="80"/>
                        <w:sz w:val="88"/>
                        <w:szCs w:val="88"/>
                      </w:rPr>
                    </w:pPr>
                    <w:r>
                      <w:rPr>
                        <w:color w:val="222A35" w:themeColor="text2" w:themeShade="80"/>
                        <w:sz w:val="56"/>
                        <w:szCs w:val="24"/>
                      </w:rPr>
                      <w:t>Hygienekonzept zur Vermeidung von SARS-CoV-2-Infektionen</w:t>
                    </w:r>
                  </w:p>
                </w:sdtContent>
              </w:sdt>
            </w:tc>
          </w:tr>
          <w:tr w:rsidR="00A17DAF" w14:paraId="1C9952EC" w14:textId="77777777">
            <w:sdt>
              <w:sdtPr>
                <w:rPr>
                  <w:color w:val="222A35" w:themeColor="text2" w:themeShade="80"/>
                  <w:sz w:val="36"/>
                  <w:szCs w:val="24"/>
                </w:rPr>
                <w:alias w:val="Untertitel"/>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0713C5D6" w14:textId="77777777" w:rsidR="00A17DAF" w:rsidRPr="00E44F97" w:rsidRDefault="00A17DAF" w:rsidP="00A17DAF">
                    <w:pPr>
                      <w:pStyle w:val="KeinLeerraum"/>
                      <w:rPr>
                        <w:color w:val="222A35" w:themeColor="text2" w:themeShade="80"/>
                        <w:sz w:val="24"/>
                      </w:rPr>
                    </w:pPr>
                    <w:r w:rsidRPr="00E44F97">
                      <w:rPr>
                        <w:color w:val="222A35" w:themeColor="text2" w:themeShade="80"/>
                        <w:sz w:val="36"/>
                        <w:szCs w:val="24"/>
                      </w:rPr>
                      <w:t>Gemäß § 36 Infektionsschutzgesetz</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518"/>
          </w:tblGrid>
          <w:tr w:rsidR="00A17DAF" w14:paraId="2A8F362F" w14:textId="77777777">
            <w:tc>
              <w:tcPr>
                <w:tcW w:w="7221" w:type="dxa"/>
                <w:tcMar>
                  <w:top w:w="216" w:type="dxa"/>
                  <w:left w:w="115" w:type="dxa"/>
                  <w:bottom w:w="216" w:type="dxa"/>
                  <w:right w:w="115" w:type="dxa"/>
                </w:tcMar>
              </w:tcPr>
              <w:p w14:paraId="6A8A2040" w14:textId="7BA8BFD4" w:rsidR="00A17DAF" w:rsidRPr="00BE4CA5" w:rsidRDefault="008B6220" w:rsidP="00DD50EE">
                <w:pPr>
                  <w:pStyle w:val="KeinLeerraum"/>
                  <w:rPr>
                    <w:sz w:val="28"/>
                  </w:rPr>
                </w:pPr>
                <w:r>
                  <w:rPr>
                    <w:sz w:val="28"/>
                  </w:rPr>
                  <w:t>Datum: ….</w:t>
                </w:r>
              </w:p>
              <w:p w14:paraId="4F91E1C6" w14:textId="59373D06" w:rsidR="00BE4CA5" w:rsidRDefault="00BE4CA5" w:rsidP="008B6220">
                <w:pPr>
                  <w:pStyle w:val="KeinLeerraum"/>
                  <w:rPr>
                    <w:color w:val="5B9BD5" w:themeColor="accent1"/>
                  </w:rPr>
                </w:pPr>
              </w:p>
            </w:tc>
          </w:tr>
        </w:tbl>
        <w:p w14:paraId="531E66F7" w14:textId="77777777" w:rsidR="00A17DAF" w:rsidRDefault="00A17DAF">
          <w:pPr>
            <w:rPr>
              <w:rFonts w:eastAsiaTheme="minorEastAsia"/>
              <w:color w:val="5B9BD5" w:themeColor="accent1"/>
              <w:lang w:eastAsia="de-DE"/>
            </w:rPr>
          </w:pPr>
          <w:r>
            <w:rPr>
              <w:rFonts w:eastAsiaTheme="minorEastAsia"/>
              <w:color w:val="5B9BD5" w:themeColor="accent1"/>
              <w:lang w:eastAsia="de-DE"/>
            </w:rPr>
            <w:br w:type="page"/>
          </w:r>
        </w:p>
      </w:sdtContent>
    </w:sdt>
    <w:sdt>
      <w:sdtPr>
        <w:rPr>
          <w:rFonts w:asciiTheme="minorHAnsi" w:eastAsiaTheme="minorHAnsi" w:hAnsiTheme="minorHAnsi" w:cstheme="minorBidi"/>
          <w:color w:val="auto"/>
          <w:sz w:val="22"/>
          <w:szCs w:val="22"/>
          <w:lang w:eastAsia="en-US"/>
        </w:rPr>
        <w:id w:val="859166239"/>
        <w:docPartObj>
          <w:docPartGallery w:val="Table of Contents"/>
          <w:docPartUnique/>
        </w:docPartObj>
      </w:sdtPr>
      <w:sdtEndPr>
        <w:rPr>
          <w:rFonts w:ascii="Titillium Web" w:hAnsi="Titillium Web"/>
          <w:b/>
          <w:bCs/>
        </w:rPr>
      </w:sdtEndPr>
      <w:sdtContent>
        <w:p w14:paraId="76743884" w14:textId="4EA7E222" w:rsidR="00EB204B" w:rsidRPr="00EB204B" w:rsidRDefault="00EB204B">
          <w:pPr>
            <w:pStyle w:val="Inhaltsverzeichnisberschrift"/>
            <w:rPr>
              <w:b/>
              <w:color w:val="1F4E79" w:themeColor="accent1" w:themeShade="80"/>
            </w:rPr>
          </w:pPr>
          <w:r w:rsidRPr="00EB204B">
            <w:rPr>
              <w:b/>
              <w:color w:val="1F4E79" w:themeColor="accent1" w:themeShade="80"/>
            </w:rPr>
            <w:t>Inhaltsverzeichnis</w:t>
          </w:r>
        </w:p>
        <w:p w14:paraId="41779692" w14:textId="0BB0308E" w:rsidR="00CF5343" w:rsidRDefault="00EB204B">
          <w:pPr>
            <w:pStyle w:val="Verzeichnis1"/>
            <w:tabs>
              <w:tab w:val="right" w:leader="dot" w:pos="9736"/>
            </w:tabs>
            <w:rPr>
              <w:rFonts w:eastAsiaTheme="minorEastAsia"/>
              <w:noProof/>
              <w:lang w:eastAsia="de-DE"/>
            </w:rPr>
          </w:pPr>
          <w:r>
            <w:fldChar w:fldCharType="begin"/>
          </w:r>
          <w:r>
            <w:instrText xml:space="preserve"> TOC \o "1-3" \h \z \u </w:instrText>
          </w:r>
          <w:r>
            <w:fldChar w:fldCharType="separate"/>
          </w:r>
          <w:hyperlink w:anchor="_Toc39565420" w:history="1">
            <w:r w:rsidR="00CF5343" w:rsidRPr="00E01490">
              <w:rPr>
                <w:rStyle w:val="Hyperlink"/>
                <w:b/>
                <w:noProof/>
              </w:rPr>
              <w:t>1. Einleitung</w:t>
            </w:r>
            <w:r w:rsidR="00CF5343">
              <w:rPr>
                <w:noProof/>
                <w:webHidden/>
              </w:rPr>
              <w:tab/>
            </w:r>
            <w:r w:rsidR="00CF5343">
              <w:rPr>
                <w:noProof/>
                <w:webHidden/>
              </w:rPr>
              <w:fldChar w:fldCharType="begin"/>
            </w:r>
            <w:r w:rsidR="00CF5343">
              <w:rPr>
                <w:noProof/>
                <w:webHidden/>
              </w:rPr>
              <w:instrText xml:space="preserve"> PAGEREF _Toc39565420 \h </w:instrText>
            </w:r>
            <w:r w:rsidR="00CF5343">
              <w:rPr>
                <w:noProof/>
                <w:webHidden/>
              </w:rPr>
            </w:r>
            <w:r w:rsidR="00CF5343">
              <w:rPr>
                <w:noProof/>
                <w:webHidden/>
              </w:rPr>
              <w:fldChar w:fldCharType="separate"/>
            </w:r>
            <w:r w:rsidR="00B15FB3">
              <w:rPr>
                <w:noProof/>
                <w:webHidden/>
              </w:rPr>
              <w:t>3</w:t>
            </w:r>
            <w:r w:rsidR="00CF5343">
              <w:rPr>
                <w:noProof/>
                <w:webHidden/>
              </w:rPr>
              <w:fldChar w:fldCharType="end"/>
            </w:r>
          </w:hyperlink>
        </w:p>
        <w:p w14:paraId="23D844B8" w14:textId="7775FF74" w:rsidR="00CF5343" w:rsidRDefault="00F268CB">
          <w:pPr>
            <w:pStyle w:val="Verzeichnis1"/>
            <w:tabs>
              <w:tab w:val="right" w:leader="dot" w:pos="9736"/>
            </w:tabs>
            <w:rPr>
              <w:rFonts w:eastAsiaTheme="minorEastAsia"/>
              <w:noProof/>
              <w:lang w:eastAsia="de-DE"/>
            </w:rPr>
          </w:pPr>
          <w:hyperlink w:anchor="_Toc39565421" w:history="1">
            <w:r w:rsidR="00CF5343" w:rsidRPr="00E01490">
              <w:rPr>
                <w:rStyle w:val="Hyperlink"/>
                <w:b/>
                <w:noProof/>
              </w:rPr>
              <w:t>2. Allgemeines Hygienemanagement</w:t>
            </w:r>
            <w:r w:rsidR="00CF5343">
              <w:rPr>
                <w:noProof/>
                <w:webHidden/>
              </w:rPr>
              <w:tab/>
            </w:r>
            <w:r w:rsidR="00CF5343">
              <w:rPr>
                <w:noProof/>
                <w:webHidden/>
              </w:rPr>
              <w:fldChar w:fldCharType="begin"/>
            </w:r>
            <w:r w:rsidR="00CF5343">
              <w:rPr>
                <w:noProof/>
                <w:webHidden/>
              </w:rPr>
              <w:instrText xml:space="preserve"> PAGEREF _Toc39565421 \h </w:instrText>
            </w:r>
            <w:r w:rsidR="00CF5343">
              <w:rPr>
                <w:noProof/>
                <w:webHidden/>
              </w:rPr>
            </w:r>
            <w:r w:rsidR="00CF5343">
              <w:rPr>
                <w:noProof/>
                <w:webHidden/>
              </w:rPr>
              <w:fldChar w:fldCharType="separate"/>
            </w:r>
            <w:r w:rsidR="00B15FB3">
              <w:rPr>
                <w:noProof/>
                <w:webHidden/>
              </w:rPr>
              <w:t>3</w:t>
            </w:r>
            <w:r w:rsidR="00CF5343">
              <w:rPr>
                <w:noProof/>
                <w:webHidden/>
              </w:rPr>
              <w:fldChar w:fldCharType="end"/>
            </w:r>
          </w:hyperlink>
        </w:p>
        <w:p w14:paraId="3AD10CFA" w14:textId="22C2C545" w:rsidR="00CF5343" w:rsidRDefault="00F268CB">
          <w:pPr>
            <w:pStyle w:val="Verzeichnis1"/>
            <w:tabs>
              <w:tab w:val="right" w:leader="dot" w:pos="9736"/>
            </w:tabs>
            <w:rPr>
              <w:rFonts w:eastAsiaTheme="minorEastAsia"/>
              <w:noProof/>
              <w:lang w:eastAsia="de-DE"/>
            </w:rPr>
          </w:pPr>
          <w:hyperlink w:anchor="_Toc39565422" w:history="1">
            <w:r w:rsidR="00CF5343" w:rsidRPr="00E01490">
              <w:rPr>
                <w:rStyle w:val="Hyperlink"/>
                <w:b/>
                <w:noProof/>
              </w:rPr>
              <w:t>3. Prävention von SARS-CoV-2- Infektionen</w:t>
            </w:r>
            <w:r w:rsidR="00CF5343">
              <w:rPr>
                <w:noProof/>
                <w:webHidden/>
              </w:rPr>
              <w:tab/>
            </w:r>
            <w:r w:rsidR="00CF5343">
              <w:rPr>
                <w:noProof/>
                <w:webHidden/>
              </w:rPr>
              <w:fldChar w:fldCharType="begin"/>
            </w:r>
            <w:r w:rsidR="00CF5343">
              <w:rPr>
                <w:noProof/>
                <w:webHidden/>
              </w:rPr>
              <w:instrText xml:space="preserve"> PAGEREF _Toc39565422 \h </w:instrText>
            </w:r>
            <w:r w:rsidR="00CF5343">
              <w:rPr>
                <w:noProof/>
                <w:webHidden/>
              </w:rPr>
            </w:r>
            <w:r w:rsidR="00CF5343">
              <w:rPr>
                <w:noProof/>
                <w:webHidden/>
              </w:rPr>
              <w:fldChar w:fldCharType="separate"/>
            </w:r>
            <w:r w:rsidR="00B15FB3">
              <w:rPr>
                <w:noProof/>
                <w:webHidden/>
              </w:rPr>
              <w:t>4</w:t>
            </w:r>
            <w:r w:rsidR="00CF5343">
              <w:rPr>
                <w:noProof/>
                <w:webHidden/>
              </w:rPr>
              <w:fldChar w:fldCharType="end"/>
            </w:r>
          </w:hyperlink>
        </w:p>
        <w:p w14:paraId="00EBAD43" w14:textId="6F57154B" w:rsidR="00CF5343" w:rsidRDefault="00F268CB">
          <w:pPr>
            <w:pStyle w:val="Verzeichnis2"/>
            <w:tabs>
              <w:tab w:val="right" w:leader="dot" w:pos="9736"/>
            </w:tabs>
            <w:rPr>
              <w:rFonts w:eastAsiaTheme="minorEastAsia"/>
              <w:noProof/>
              <w:lang w:eastAsia="de-DE"/>
            </w:rPr>
          </w:pPr>
          <w:hyperlink w:anchor="_Toc39565423" w:history="1">
            <w:r w:rsidR="00CF5343" w:rsidRPr="00E01490">
              <w:rPr>
                <w:rStyle w:val="Hyperlink"/>
                <w:b/>
                <w:noProof/>
              </w:rPr>
              <w:t>3.1 Allgemeingültige präventive Maßnahmen zur Vermeidung von SARS-CoV-2-Infektionen</w:t>
            </w:r>
            <w:r w:rsidR="00CF5343">
              <w:rPr>
                <w:noProof/>
                <w:webHidden/>
              </w:rPr>
              <w:tab/>
            </w:r>
            <w:r w:rsidR="00CF5343">
              <w:rPr>
                <w:noProof/>
                <w:webHidden/>
              </w:rPr>
              <w:fldChar w:fldCharType="begin"/>
            </w:r>
            <w:r w:rsidR="00CF5343">
              <w:rPr>
                <w:noProof/>
                <w:webHidden/>
              </w:rPr>
              <w:instrText xml:space="preserve"> PAGEREF _Toc39565423 \h </w:instrText>
            </w:r>
            <w:r w:rsidR="00CF5343">
              <w:rPr>
                <w:noProof/>
                <w:webHidden/>
              </w:rPr>
            </w:r>
            <w:r w:rsidR="00CF5343">
              <w:rPr>
                <w:noProof/>
                <w:webHidden/>
              </w:rPr>
              <w:fldChar w:fldCharType="separate"/>
            </w:r>
            <w:r w:rsidR="00B15FB3">
              <w:rPr>
                <w:noProof/>
                <w:webHidden/>
              </w:rPr>
              <w:t>4</w:t>
            </w:r>
            <w:r w:rsidR="00CF5343">
              <w:rPr>
                <w:noProof/>
                <w:webHidden/>
              </w:rPr>
              <w:fldChar w:fldCharType="end"/>
            </w:r>
          </w:hyperlink>
        </w:p>
        <w:p w14:paraId="6C62A008" w14:textId="6D678D1C" w:rsidR="00CF5343" w:rsidRDefault="00F268CB">
          <w:pPr>
            <w:pStyle w:val="Verzeichnis3"/>
            <w:tabs>
              <w:tab w:val="right" w:leader="dot" w:pos="9736"/>
            </w:tabs>
            <w:rPr>
              <w:rFonts w:eastAsiaTheme="minorEastAsia"/>
              <w:noProof/>
              <w:lang w:eastAsia="de-DE"/>
            </w:rPr>
          </w:pPr>
          <w:hyperlink w:anchor="_Toc39565424" w:history="1">
            <w:r w:rsidR="00CF5343" w:rsidRPr="00E01490">
              <w:rPr>
                <w:rStyle w:val="Hyperlink"/>
                <w:noProof/>
              </w:rPr>
              <w:t>3.1.1 Selbstkontrolle de</w:t>
            </w:r>
            <w:r w:rsidR="00CF5343" w:rsidRPr="00E01490">
              <w:rPr>
                <w:rStyle w:val="Hyperlink"/>
                <w:noProof/>
              </w:rPr>
              <w:t>r</w:t>
            </w:r>
            <w:r w:rsidR="00CF5343" w:rsidRPr="00E01490">
              <w:rPr>
                <w:rStyle w:val="Hyperlink"/>
                <w:noProof/>
              </w:rPr>
              <w:t xml:space="preserve"> Symptome</w:t>
            </w:r>
            <w:r w:rsidR="00CF5343">
              <w:rPr>
                <w:noProof/>
                <w:webHidden/>
              </w:rPr>
              <w:tab/>
            </w:r>
            <w:r w:rsidR="00CF5343">
              <w:rPr>
                <w:noProof/>
                <w:webHidden/>
              </w:rPr>
              <w:fldChar w:fldCharType="begin"/>
            </w:r>
            <w:r w:rsidR="00CF5343">
              <w:rPr>
                <w:noProof/>
                <w:webHidden/>
              </w:rPr>
              <w:instrText xml:space="preserve"> PAGEREF _Toc39565424 \h </w:instrText>
            </w:r>
            <w:r w:rsidR="00CF5343">
              <w:rPr>
                <w:noProof/>
                <w:webHidden/>
              </w:rPr>
            </w:r>
            <w:r w:rsidR="00CF5343">
              <w:rPr>
                <w:noProof/>
                <w:webHidden/>
              </w:rPr>
              <w:fldChar w:fldCharType="separate"/>
            </w:r>
            <w:r w:rsidR="00B15FB3">
              <w:rPr>
                <w:noProof/>
                <w:webHidden/>
              </w:rPr>
              <w:t>4</w:t>
            </w:r>
            <w:r w:rsidR="00CF5343">
              <w:rPr>
                <w:noProof/>
                <w:webHidden/>
              </w:rPr>
              <w:fldChar w:fldCharType="end"/>
            </w:r>
          </w:hyperlink>
        </w:p>
        <w:p w14:paraId="1EA231B2" w14:textId="089AA5BB" w:rsidR="00CF5343" w:rsidRDefault="00F268CB">
          <w:pPr>
            <w:pStyle w:val="Verzeichnis3"/>
            <w:tabs>
              <w:tab w:val="right" w:leader="dot" w:pos="9736"/>
            </w:tabs>
            <w:rPr>
              <w:rFonts w:eastAsiaTheme="minorEastAsia"/>
              <w:noProof/>
              <w:lang w:eastAsia="de-DE"/>
            </w:rPr>
          </w:pPr>
          <w:hyperlink w:anchor="_Toc39565425" w:history="1">
            <w:r w:rsidR="00CF5343" w:rsidRPr="00E01490">
              <w:rPr>
                <w:rStyle w:val="Hyperlink"/>
                <w:noProof/>
              </w:rPr>
              <w:t>3.1.2 Kommunikat</w:t>
            </w:r>
            <w:r w:rsidR="00CF5343" w:rsidRPr="00E01490">
              <w:rPr>
                <w:rStyle w:val="Hyperlink"/>
                <w:noProof/>
              </w:rPr>
              <w:t>i</w:t>
            </w:r>
            <w:r w:rsidR="00CF5343" w:rsidRPr="00E01490">
              <w:rPr>
                <w:rStyle w:val="Hyperlink"/>
                <w:noProof/>
              </w:rPr>
              <w:t>on</w:t>
            </w:r>
            <w:r w:rsidR="00CF5343">
              <w:rPr>
                <w:noProof/>
                <w:webHidden/>
              </w:rPr>
              <w:tab/>
            </w:r>
            <w:r w:rsidR="00CF5343">
              <w:rPr>
                <w:noProof/>
                <w:webHidden/>
              </w:rPr>
              <w:fldChar w:fldCharType="begin"/>
            </w:r>
            <w:r w:rsidR="00CF5343">
              <w:rPr>
                <w:noProof/>
                <w:webHidden/>
              </w:rPr>
              <w:instrText xml:space="preserve"> PAGEREF _Toc39565425 \h </w:instrText>
            </w:r>
            <w:r w:rsidR="00CF5343">
              <w:rPr>
                <w:noProof/>
                <w:webHidden/>
              </w:rPr>
            </w:r>
            <w:r w:rsidR="00CF5343">
              <w:rPr>
                <w:noProof/>
                <w:webHidden/>
              </w:rPr>
              <w:fldChar w:fldCharType="separate"/>
            </w:r>
            <w:r w:rsidR="00B15FB3">
              <w:rPr>
                <w:noProof/>
                <w:webHidden/>
              </w:rPr>
              <w:t>5</w:t>
            </w:r>
            <w:r w:rsidR="00CF5343">
              <w:rPr>
                <w:noProof/>
                <w:webHidden/>
              </w:rPr>
              <w:fldChar w:fldCharType="end"/>
            </w:r>
          </w:hyperlink>
        </w:p>
        <w:p w14:paraId="4F593023" w14:textId="0DCDE1FB" w:rsidR="00CF5343" w:rsidRDefault="00F268CB">
          <w:pPr>
            <w:pStyle w:val="Verzeichnis3"/>
            <w:tabs>
              <w:tab w:val="right" w:leader="dot" w:pos="9736"/>
            </w:tabs>
            <w:rPr>
              <w:rFonts w:eastAsiaTheme="minorEastAsia"/>
              <w:noProof/>
              <w:lang w:eastAsia="de-DE"/>
            </w:rPr>
          </w:pPr>
          <w:hyperlink w:anchor="_Toc39565426" w:history="1">
            <w:r w:rsidR="00CF5343" w:rsidRPr="00E01490">
              <w:rPr>
                <w:rStyle w:val="Hyperlink"/>
                <w:noProof/>
              </w:rPr>
              <w:t>3.1.3 Händewasch- und Händedesinfektionsmöglichkeiten</w:t>
            </w:r>
            <w:r w:rsidR="00CF5343">
              <w:rPr>
                <w:noProof/>
                <w:webHidden/>
              </w:rPr>
              <w:tab/>
            </w:r>
            <w:r w:rsidR="00CF5343">
              <w:rPr>
                <w:noProof/>
                <w:webHidden/>
              </w:rPr>
              <w:fldChar w:fldCharType="begin"/>
            </w:r>
            <w:r w:rsidR="00CF5343">
              <w:rPr>
                <w:noProof/>
                <w:webHidden/>
              </w:rPr>
              <w:instrText xml:space="preserve"> PAGEREF _Toc39565426 \h </w:instrText>
            </w:r>
            <w:r w:rsidR="00CF5343">
              <w:rPr>
                <w:noProof/>
                <w:webHidden/>
              </w:rPr>
            </w:r>
            <w:r w:rsidR="00CF5343">
              <w:rPr>
                <w:noProof/>
                <w:webHidden/>
              </w:rPr>
              <w:fldChar w:fldCharType="separate"/>
            </w:r>
            <w:r w:rsidR="00B15FB3">
              <w:rPr>
                <w:noProof/>
                <w:webHidden/>
              </w:rPr>
              <w:t>5</w:t>
            </w:r>
            <w:r w:rsidR="00CF5343">
              <w:rPr>
                <w:noProof/>
                <w:webHidden/>
              </w:rPr>
              <w:fldChar w:fldCharType="end"/>
            </w:r>
          </w:hyperlink>
        </w:p>
        <w:p w14:paraId="2B988A94" w14:textId="2BE71D59" w:rsidR="00CF5343" w:rsidRDefault="00F268CB">
          <w:pPr>
            <w:pStyle w:val="Verzeichnis3"/>
            <w:tabs>
              <w:tab w:val="right" w:leader="dot" w:pos="9736"/>
            </w:tabs>
            <w:rPr>
              <w:rFonts w:eastAsiaTheme="minorEastAsia"/>
              <w:noProof/>
              <w:lang w:eastAsia="de-DE"/>
            </w:rPr>
          </w:pPr>
          <w:hyperlink w:anchor="_Toc39565427" w:history="1">
            <w:r w:rsidR="00CF5343" w:rsidRPr="00E01490">
              <w:rPr>
                <w:rStyle w:val="Hyperlink"/>
                <w:noProof/>
              </w:rPr>
              <w:t>3.1.4 Mittel für die Händehygiene und für Reinigung und Flächendesinfektion</w:t>
            </w:r>
            <w:r w:rsidR="00CF5343">
              <w:rPr>
                <w:noProof/>
                <w:webHidden/>
              </w:rPr>
              <w:tab/>
            </w:r>
            <w:r w:rsidR="00CF5343">
              <w:rPr>
                <w:noProof/>
                <w:webHidden/>
              </w:rPr>
              <w:fldChar w:fldCharType="begin"/>
            </w:r>
            <w:r w:rsidR="00CF5343">
              <w:rPr>
                <w:noProof/>
                <w:webHidden/>
              </w:rPr>
              <w:instrText xml:space="preserve"> PAGEREF _Toc39565427 \h </w:instrText>
            </w:r>
            <w:r w:rsidR="00CF5343">
              <w:rPr>
                <w:noProof/>
                <w:webHidden/>
              </w:rPr>
            </w:r>
            <w:r w:rsidR="00CF5343">
              <w:rPr>
                <w:noProof/>
                <w:webHidden/>
              </w:rPr>
              <w:fldChar w:fldCharType="separate"/>
            </w:r>
            <w:r w:rsidR="00B15FB3">
              <w:rPr>
                <w:noProof/>
                <w:webHidden/>
              </w:rPr>
              <w:t>5</w:t>
            </w:r>
            <w:r w:rsidR="00CF5343">
              <w:rPr>
                <w:noProof/>
                <w:webHidden/>
              </w:rPr>
              <w:fldChar w:fldCharType="end"/>
            </w:r>
          </w:hyperlink>
        </w:p>
        <w:p w14:paraId="16091DC5" w14:textId="117ECB34" w:rsidR="00CF5343" w:rsidRDefault="00F268CB">
          <w:pPr>
            <w:pStyle w:val="Verzeichnis2"/>
            <w:tabs>
              <w:tab w:val="right" w:leader="dot" w:pos="9736"/>
            </w:tabs>
            <w:rPr>
              <w:rFonts w:eastAsiaTheme="minorEastAsia"/>
              <w:noProof/>
              <w:lang w:eastAsia="de-DE"/>
            </w:rPr>
          </w:pPr>
          <w:hyperlink w:anchor="_Toc39565428" w:history="1">
            <w:r w:rsidR="00CF5343" w:rsidRPr="00E01490">
              <w:rPr>
                <w:rStyle w:val="Hyperlink"/>
                <w:b/>
                <w:noProof/>
              </w:rPr>
              <w:t>3.2 Kriterien für die Durchführung von Prüfungen und Lehrgängen im Bildungsbetrieb</w:t>
            </w:r>
            <w:r w:rsidR="00CF5343">
              <w:rPr>
                <w:noProof/>
                <w:webHidden/>
              </w:rPr>
              <w:tab/>
            </w:r>
            <w:r w:rsidR="00CF5343">
              <w:rPr>
                <w:noProof/>
                <w:webHidden/>
              </w:rPr>
              <w:fldChar w:fldCharType="begin"/>
            </w:r>
            <w:r w:rsidR="00CF5343">
              <w:rPr>
                <w:noProof/>
                <w:webHidden/>
              </w:rPr>
              <w:instrText xml:space="preserve"> PAGEREF _Toc39565428 \h </w:instrText>
            </w:r>
            <w:r w:rsidR="00CF5343">
              <w:rPr>
                <w:noProof/>
                <w:webHidden/>
              </w:rPr>
            </w:r>
            <w:r w:rsidR="00CF5343">
              <w:rPr>
                <w:noProof/>
                <w:webHidden/>
              </w:rPr>
              <w:fldChar w:fldCharType="separate"/>
            </w:r>
            <w:r w:rsidR="00B15FB3">
              <w:rPr>
                <w:noProof/>
                <w:webHidden/>
              </w:rPr>
              <w:t>5</w:t>
            </w:r>
            <w:r w:rsidR="00CF5343">
              <w:rPr>
                <w:noProof/>
                <w:webHidden/>
              </w:rPr>
              <w:fldChar w:fldCharType="end"/>
            </w:r>
          </w:hyperlink>
        </w:p>
        <w:p w14:paraId="76C7C569" w14:textId="4C05D5CA" w:rsidR="00CF5343" w:rsidRDefault="00F268CB">
          <w:pPr>
            <w:pStyle w:val="Verzeichnis3"/>
            <w:tabs>
              <w:tab w:val="right" w:leader="dot" w:pos="9736"/>
            </w:tabs>
            <w:rPr>
              <w:rFonts w:eastAsiaTheme="minorEastAsia"/>
              <w:noProof/>
              <w:lang w:eastAsia="de-DE"/>
            </w:rPr>
          </w:pPr>
          <w:hyperlink w:anchor="_Toc39565429" w:history="1">
            <w:r w:rsidR="00CF5343" w:rsidRPr="00E01490">
              <w:rPr>
                <w:rStyle w:val="Hyperlink"/>
                <w:noProof/>
              </w:rPr>
              <w:t>3.2.1 Zahl und Zusammensetzung der Teilnehmer*innen</w:t>
            </w:r>
            <w:r w:rsidR="00CF5343">
              <w:rPr>
                <w:noProof/>
                <w:webHidden/>
              </w:rPr>
              <w:tab/>
            </w:r>
            <w:r w:rsidR="00CF5343">
              <w:rPr>
                <w:noProof/>
                <w:webHidden/>
              </w:rPr>
              <w:fldChar w:fldCharType="begin"/>
            </w:r>
            <w:r w:rsidR="00CF5343">
              <w:rPr>
                <w:noProof/>
                <w:webHidden/>
              </w:rPr>
              <w:instrText xml:space="preserve"> PAGEREF _Toc39565429 \h </w:instrText>
            </w:r>
            <w:r w:rsidR="00CF5343">
              <w:rPr>
                <w:noProof/>
                <w:webHidden/>
              </w:rPr>
            </w:r>
            <w:r w:rsidR="00CF5343">
              <w:rPr>
                <w:noProof/>
                <w:webHidden/>
              </w:rPr>
              <w:fldChar w:fldCharType="separate"/>
            </w:r>
            <w:r w:rsidR="00B15FB3">
              <w:rPr>
                <w:noProof/>
                <w:webHidden/>
              </w:rPr>
              <w:t>6</w:t>
            </w:r>
            <w:r w:rsidR="00CF5343">
              <w:rPr>
                <w:noProof/>
                <w:webHidden/>
              </w:rPr>
              <w:fldChar w:fldCharType="end"/>
            </w:r>
          </w:hyperlink>
        </w:p>
        <w:p w14:paraId="68ED4BD9" w14:textId="4D4558D0" w:rsidR="00CF5343" w:rsidRDefault="00F268CB">
          <w:pPr>
            <w:pStyle w:val="Verzeichnis3"/>
            <w:tabs>
              <w:tab w:val="right" w:leader="dot" w:pos="9736"/>
            </w:tabs>
            <w:rPr>
              <w:rFonts w:eastAsiaTheme="minorEastAsia"/>
              <w:noProof/>
              <w:lang w:eastAsia="de-DE"/>
            </w:rPr>
          </w:pPr>
          <w:hyperlink w:anchor="_Toc39565430" w:history="1">
            <w:r w:rsidR="00CF5343" w:rsidRPr="00E01490">
              <w:rPr>
                <w:rStyle w:val="Hyperlink"/>
                <w:noProof/>
              </w:rPr>
              <w:t>3.2.2 Teilnehmer*innen mit Vorerkrankungen</w:t>
            </w:r>
            <w:r w:rsidR="00CF5343">
              <w:rPr>
                <w:noProof/>
                <w:webHidden/>
              </w:rPr>
              <w:tab/>
            </w:r>
            <w:r w:rsidR="00CF5343">
              <w:rPr>
                <w:noProof/>
                <w:webHidden/>
              </w:rPr>
              <w:fldChar w:fldCharType="begin"/>
            </w:r>
            <w:r w:rsidR="00CF5343">
              <w:rPr>
                <w:noProof/>
                <w:webHidden/>
              </w:rPr>
              <w:instrText xml:space="preserve"> PAGEREF _Toc39565430 \h </w:instrText>
            </w:r>
            <w:r w:rsidR="00CF5343">
              <w:rPr>
                <w:noProof/>
                <w:webHidden/>
              </w:rPr>
            </w:r>
            <w:r w:rsidR="00CF5343">
              <w:rPr>
                <w:noProof/>
                <w:webHidden/>
              </w:rPr>
              <w:fldChar w:fldCharType="separate"/>
            </w:r>
            <w:r w:rsidR="00B15FB3">
              <w:rPr>
                <w:noProof/>
                <w:webHidden/>
              </w:rPr>
              <w:t>6</w:t>
            </w:r>
            <w:r w:rsidR="00CF5343">
              <w:rPr>
                <w:noProof/>
                <w:webHidden/>
              </w:rPr>
              <w:fldChar w:fldCharType="end"/>
            </w:r>
          </w:hyperlink>
        </w:p>
        <w:p w14:paraId="7283A3AA" w14:textId="0AD46C7A" w:rsidR="00CF5343" w:rsidRDefault="00F268CB">
          <w:pPr>
            <w:pStyle w:val="Verzeichnis3"/>
            <w:tabs>
              <w:tab w:val="right" w:leader="dot" w:pos="9736"/>
            </w:tabs>
            <w:rPr>
              <w:rFonts w:eastAsiaTheme="minorEastAsia"/>
              <w:noProof/>
              <w:lang w:eastAsia="de-DE"/>
            </w:rPr>
          </w:pPr>
          <w:hyperlink w:anchor="_Toc39565431" w:history="1">
            <w:r w:rsidR="00CF5343" w:rsidRPr="00E01490">
              <w:rPr>
                <w:rStyle w:val="Hyperlink"/>
                <w:noProof/>
              </w:rPr>
              <w:t>3.2.3 Lehrkräfte und Prüfer*innen mit Vorerkrankungen</w:t>
            </w:r>
            <w:r w:rsidR="00CF5343">
              <w:rPr>
                <w:noProof/>
                <w:webHidden/>
              </w:rPr>
              <w:tab/>
            </w:r>
            <w:r w:rsidR="00CF5343">
              <w:rPr>
                <w:noProof/>
                <w:webHidden/>
              </w:rPr>
              <w:fldChar w:fldCharType="begin"/>
            </w:r>
            <w:r w:rsidR="00CF5343">
              <w:rPr>
                <w:noProof/>
                <w:webHidden/>
              </w:rPr>
              <w:instrText xml:space="preserve"> PAGEREF _Toc39565431 \h </w:instrText>
            </w:r>
            <w:r w:rsidR="00CF5343">
              <w:rPr>
                <w:noProof/>
                <w:webHidden/>
              </w:rPr>
            </w:r>
            <w:r w:rsidR="00CF5343">
              <w:rPr>
                <w:noProof/>
                <w:webHidden/>
              </w:rPr>
              <w:fldChar w:fldCharType="separate"/>
            </w:r>
            <w:r w:rsidR="00B15FB3">
              <w:rPr>
                <w:noProof/>
                <w:webHidden/>
              </w:rPr>
              <w:t>6</w:t>
            </w:r>
            <w:r w:rsidR="00CF5343">
              <w:rPr>
                <w:noProof/>
                <w:webHidden/>
              </w:rPr>
              <w:fldChar w:fldCharType="end"/>
            </w:r>
          </w:hyperlink>
        </w:p>
        <w:p w14:paraId="3F2A96CF" w14:textId="797244EA" w:rsidR="00CF5343" w:rsidRDefault="00F268CB">
          <w:pPr>
            <w:pStyle w:val="Verzeichnis3"/>
            <w:tabs>
              <w:tab w:val="right" w:leader="dot" w:pos="9736"/>
            </w:tabs>
            <w:rPr>
              <w:rFonts w:eastAsiaTheme="minorEastAsia"/>
              <w:noProof/>
              <w:lang w:eastAsia="de-DE"/>
            </w:rPr>
          </w:pPr>
          <w:hyperlink w:anchor="_Toc39565432" w:history="1">
            <w:r w:rsidR="00CF5343" w:rsidRPr="00E01490">
              <w:rPr>
                <w:rStyle w:val="Hyperlink"/>
                <w:noProof/>
              </w:rPr>
              <w:t>3.2.4 Dokumentations- und Meldepflichten zur Nachverfolgung von Infektionsketten</w:t>
            </w:r>
            <w:r w:rsidR="00CF5343">
              <w:rPr>
                <w:noProof/>
                <w:webHidden/>
              </w:rPr>
              <w:tab/>
            </w:r>
            <w:r w:rsidR="00CF5343">
              <w:rPr>
                <w:noProof/>
                <w:webHidden/>
              </w:rPr>
              <w:fldChar w:fldCharType="begin"/>
            </w:r>
            <w:r w:rsidR="00CF5343">
              <w:rPr>
                <w:noProof/>
                <w:webHidden/>
              </w:rPr>
              <w:instrText xml:space="preserve"> PAGEREF _Toc39565432 \h </w:instrText>
            </w:r>
            <w:r w:rsidR="00CF5343">
              <w:rPr>
                <w:noProof/>
                <w:webHidden/>
              </w:rPr>
            </w:r>
            <w:r w:rsidR="00CF5343">
              <w:rPr>
                <w:noProof/>
                <w:webHidden/>
              </w:rPr>
              <w:fldChar w:fldCharType="separate"/>
            </w:r>
            <w:r w:rsidR="00B15FB3">
              <w:rPr>
                <w:noProof/>
                <w:webHidden/>
              </w:rPr>
              <w:t>6</w:t>
            </w:r>
            <w:r w:rsidR="00CF5343">
              <w:rPr>
                <w:noProof/>
                <w:webHidden/>
              </w:rPr>
              <w:fldChar w:fldCharType="end"/>
            </w:r>
          </w:hyperlink>
        </w:p>
        <w:p w14:paraId="5FE86C52" w14:textId="0E225B37" w:rsidR="00CF5343" w:rsidRDefault="00F268CB">
          <w:pPr>
            <w:pStyle w:val="Verzeichnis3"/>
            <w:tabs>
              <w:tab w:val="right" w:leader="dot" w:pos="9736"/>
            </w:tabs>
            <w:rPr>
              <w:rFonts w:eastAsiaTheme="minorEastAsia"/>
              <w:noProof/>
              <w:lang w:eastAsia="de-DE"/>
            </w:rPr>
          </w:pPr>
          <w:hyperlink w:anchor="_Toc39565433" w:history="1">
            <w:r w:rsidR="00CF5343" w:rsidRPr="00E01490">
              <w:rPr>
                <w:rStyle w:val="Hyperlink"/>
                <w:noProof/>
              </w:rPr>
              <w:t>3.2.5 Persönliches Verhalten</w:t>
            </w:r>
            <w:r w:rsidR="00CF5343">
              <w:rPr>
                <w:noProof/>
                <w:webHidden/>
              </w:rPr>
              <w:tab/>
            </w:r>
            <w:r w:rsidR="00CF5343">
              <w:rPr>
                <w:noProof/>
                <w:webHidden/>
              </w:rPr>
              <w:fldChar w:fldCharType="begin"/>
            </w:r>
            <w:r w:rsidR="00CF5343">
              <w:rPr>
                <w:noProof/>
                <w:webHidden/>
              </w:rPr>
              <w:instrText xml:space="preserve"> PAGEREF _Toc39565433 \h </w:instrText>
            </w:r>
            <w:r w:rsidR="00CF5343">
              <w:rPr>
                <w:noProof/>
                <w:webHidden/>
              </w:rPr>
            </w:r>
            <w:r w:rsidR="00CF5343">
              <w:rPr>
                <w:noProof/>
                <w:webHidden/>
              </w:rPr>
              <w:fldChar w:fldCharType="separate"/>
            </w:r>
            <w:r w:rsidR="00B15FB3">
              <w:rPr>
                <w:noProof/>
                <w:webHidden/>
              </w:rPr>
              <w:t>7</w:t>
            </w:r>
            <w:r w:rsidR="00CF5343">
              <w:rPr>
                <w:noProof/>
                <w:webHidden/>
              </w:rPr>
              <w:fldChar w:fldCharType="end"/>
            </w:r>
          </w:hyperlink>
        </w:p>
        <w:p w14:paraId="72907FEB" w14:textId="6B461C0A" w:rsidR="00CF5343" w:rsidRDefault="00F268CB">
          <w:pPr>
            <w:pStyle w:val="Verzeichnis3"/>
            <w:tabs>
              <w:tab w:val="right" w:leader="dot" w:pos="9736"/>
            </w:tabs>
            <w:rPr>
              <w:rFonts w:eastAsiaTheme="minorEastAsia"/>
              <w:noProof/>
              <w:lang w:eastAsia="de-DE"/>
            </w:rPr>
          </w:pPr>
          <w:hyperlink w:anchor="_Toc39565434" w:history="1">
            <w:r w:rsidR="00CF5343" w:rsidRPr="00E01490">
              <w:rPr>
                <w:rStyle w:val="Hyperlink"/>
                <w:noProof/>
              </w:rPr>
              <w:t>3.2.6 Ausschluss symptomatischer Teilnehmer*innen</w:t>
            </w:r>
            <w:r w:rsidR="00CF5343">
              <w:rPr>
                <w:noProof/>
                <w:webHidden/>
              </w:rPr>
              <w:tab/>
            </w:r>
            <w:r w:rsidR="00CF5343">
              <w:rPr>
                <w:noProof/>
                <w:webHidden/>
              </w:rPr>
              <w:fldChar w:fldCharType="begin"/>
            </w:r>
            <w:r w:rsidR="00CF5343">
              <w:rPr>
                <w:noProof/>
                <w:webHidden/>
              </w:rPr>
              <w:instrText xml:space="preserve"> PAGEREF _Toc39565434 \h </w:instrText>
            </w:r>
            <w:r w:rsidR="00CF5343">
              <w:rPr>
                <w:noProof/>
                <w:webHidden/>
              </w:rPr>
            </w:r>
            <w:r w:rsidR="00CF5343">
              <w:rPr>
                <w:noProof/>
                <w:webHidden/>
              </w:rPr>
              <w:fldChar w:fldCharType="separate"/>
            </w:r>
            <w:r w:rsidR="00B15FB3">
              <w:rPr>
                <w:noProof/>
                <w:webHidden/>
              </w:rPr>
              <w:t>7</w:t>
            </w:r>
            <w:r w:rsidR="00CF5343">
              <w:rPr>
                <w:noProof/>
                <w:webHidden/>
              </w:rPr>
              <w:fldChar w:fldCharType="end"/>
            </w:r>
          </w:hyperlink>
        </w:p>
        <w:p w14:paraId="2C885D6C" w14:textId="76C6A547" w:rsidR="00CF5343" w:rsidRDefault="00F268CB">
          <w:pPr>
            <w:pStyle w:val="Verzeichnis3"/>
            <w:tabs>
              <w:tab w:val="right" w:leader="dot" w:pos="9736"/>
            </w:tabs>
            <w:rPr>
              <w:rFonts w:eastAsiaTheme="minorEastAsia"/>
              <w:noProof/>
              <w:lang w:eastAsia="de-DE"/>
            </w:rPr>
          </w:pPr>
          <w:hyperlink w:anchor="_Toc39565435" w:history="1">
            <w:r w:rsidR="00CF5343" w:rsidRPr="00E01490">
              <w:rPr>
                <w:rStyle w:val="Hyperlink"/>
                <w:noProof/>
              </w:rPr>
              <w:t>3.2.7 Gestaltung des Prüfungsraumes bzw. Seminarraumes oder der Lehrwerkstatt</w:t>
            </w:r>
            <w:r w:rsidR="00CF5343">
              <w:rPr>
                <w:noProof/>
                <w:webHidden/>
              </w:rPr>
              <w:tab/>
            </w:r>
            <w:r w:rsidR="00CF5343">
              <w:rPr>
                <w:noProof/>
                <w:webHidden/>
              </w:rPr>
              <w:fldChar w:fldCharType="begin"/>
            </w:r>
            <w:r w:rsidR="00CF5343">
              <w:rPr>
                <w:noProof/>
                <w:webHidden/>
              </w:rPr>
              <w:instrText xml:space="preserve"> PAGEREF _Toc39565435 \h </w:instrText>
            </w:r>
            <w:r w:rsidR="00CF5343">
              <w:rPr>
                <w:noProof/>
                <w:webHidden/>
              </w:rPr>
            </w:r>
            <w:r w:rsidR="00CF5343">
              <w:rPr>
                <w:noProof/>
                <w:webHidden/>
              </w:rPr>
              <w:fldChar w:fldCharType="separate"/>
            </w:r>
            <w:r w:rsidR="00B15FB3">
              <w:rPr>
                <w:noProof/>
                <w:webHidden/>
              </w:rPr>
              <w:t>7</w:t>
            </w:r>
            <w:r w:rsidR="00CF5343">
              <w:rPr>
                <w:noProof/>
                <w:webHidden/>
              </w:rPr>
              <w:fldChar w:fldCharType="end"/>
            </w:r>
          </w:hyperlink>
        </w:p>
        <w:p w14:paraId="0674C63D" w14:textId="7784E63F" w:rsidR="00CF5343" w:rsidRDefault="00F268CB">
          <w:pPr>
            <w:pStyle w:val="Verzeichnis3"/>
            <w:tabs>
              <w:tab w:val="right" w:leader="dot" w:pos="9736"/>
            </w:tabs>
            <w:rPr>
              <w:rFonts w:eastAsiaTheme="minorEastAsia"/>
              <w:noProof/>
              <w:lang w:eastAsia="de-DE"/>
            </w:rPr>
          </w:pPr>
          <w:hyperlink w:anchor="_Toc39565436" w:history="1">
            <w:r w:rsidR="00CF5343" w:rsidRPr="00E01490">
              <w:rPr>
                <w:rStyle w:val="Hyperlink"/>
                <w:noProof/>
              </w:rPr>
              <w:t>3.2.8 Erweiterte Präventivmaßnahmen durch das Tragen von Nasen-Mund-Schutz</w:t>
            </w:r>
            <w:r w:rsidR="00CF5343">
              <w:rPr>
                <w:noProof/>
                <w:webHidden/>
              </w:rPr>
              <w:tab/>
            </w:r>
            <w:r w:rsidR="00CF5343">
              <w:rPr>
                <w:noProof/>
                <w:webHidden/>
              </w:rPr>
              <w:fldChar w:fldCharType="begin"/>
            </w:r>
            <w:r w:rsidR="00CF5343">
              <w:rPr>
                <w:noProof/>
                <w:webHidden/>
              </w:rPr>
              <w:instrText xml:space="preserve"> PAGEREF _Toc39565436 \h </w:instrText>
            </w:r>
            <w:r w:rsidR="00CF5343">
              <w:rPr>
                <w:noProof/>
                <w:webHidden/>
              </w:rPr>
            </w:r>
            <w:r w:rsidR="00CF5343">
              <w:rPr>
                <w:noProof/>
                <w:webHidden/>
              </w:rPr>
              <w:fldChar w:fldCharType="separate"/>
            </w:r>
            <w:r w:rsidR="00B15FB3">
              <w:rPr>
                <w:noProof/>
                <w:webHidden/>
              </w:rPr>
              <w:t>7</w:t>
            </w:r>
            <w:r w:rsidR="00CF5343">
              <w:rPr>
                <w:noProof/>
                <w:webHidden/>
              </w:rPr>
              <w:fldChar w:fldCharType="end"/>
            </w:r>
          </w:hyperlink>
        </w:p>
        <w:p w14:paraId="48E5C902" w14:textId="54271E11" w:rsidR="00CF5343" w:rsidRDefault="00F268CB">
          <w:pPr>
            <w:pStyle w:val="Verzeichnis3"/>
            <w:tabs>
              <w:tab w:val="right" w:leader="dot" w:pos="9736"/>
            </w:tabs>
            <w:rPr>
              <w:rFonts w:eastAsiaTheme="minorEastAsia"/>
              <w:noProof/>
              <w:lang w:eastAsia="de-DE"/>
            </w:rPr>
          </w:pPr>
          <w:hyperlink w:anchor="_Toc39565437" w:history="1">
            <w:r w:rsidR="00CF5343" w:rsidRPr="00E01490">
              <w:rPr>
                <w:rStyle w:val="Hyperlink"/>
                <w:noProof/>
              </w:rPr>
              <w:t>3.2.9 Selbstkontrolle auf Sy</w:t>
            </w:r>
            <w:r w:rsidR="00CF5343" w:rsidRPr="00E01490">
              <w:rPr>
                <w:rStyle w:val="Hyperlink"/>
                <w:noProof/>
              </w:rPr>
              <w:t>m</w:t>
            </w:r>
            <w:r w:rsidR="00CF5343" w:rsidRPr="00E01490">
              <w:rPr>
                <w:rStyle w:val="Hyperlink"/>
                <w:noProof/>
              </w:rPr>
              <w:t>ptome</w:t>
            </w:r>
            <w:r w:rsidR="00CF5343">
              <w:rPr>
                <w:noProof/>
                <w:webHidden/>
              </w:rPr>
              <w:tab/>
            </w:r>
            <w:r w:rsidR="00CF5343">
              <w:rPr>
                <w:noProof/>
                <w:webHidden/>
              </w:rPr>
              <w:fldChar w:fldCharType="begin"/>
            </w:r>
            <w:r w:rsidR="00CF5343">
              <w:rPr>
                <w:noProof/>
                <w:webHidden/>
              </w:rPr>
              <w:instrText xml:space="preserve"> PAGEREF _Toc39565437 \h </w:instrText>
            </w:r>
            <w:r w:rsidR="00CF5343">
              <w:rPr>
                <w:noProof/>
                <w:webHidden/>
              </w:rPr>
            </w:r>
            <w:r w:rsidR="00CF5343">
              <w:rPr>
                <w:noProof/>
                <w:webHidden/>
              </w:rPr>
              <w:fldChar w:fldCharType="separate"/>
            </w:r>
            <w:r w:rsidR="00B15FB3">
              <w:rPr>
                <w:noProof/>
                <w:webHidden/>
              </w:rPr>
              <w:t>7</w:t>
            </w:r>
            <w:r w:rsidR="00CF5343">
              <w:rPr>
                <w:noProof/>
                <w:webHidden/>
              </w:rPr>
              <w:fldChar w:fldCharType="end"/>
            </w:r>
          </w:hyperlink>
        </w:p>
        <w:p w14:paraId="325D2A11" w14:textId="10BF8EF2" w:rsidR="00CF5343" w:rsidRDefault="00F268CB">
          <w:pPr>
            <w:pStyle w:val="Verzeichnis3"/>
            <w:tabs>
              <w:tab w:val="right" w:leader="dot" w:pos="9736"/>
            </w:tabs>
            <w:rPr>
              <w:rFonts w:eastAsiaTheme="minorEastAsia"/>
              <w:noProof/>
              <w:lang w:eastAsia="de-DE"/>
            </w:rPr>
          </w:pPr>
          <w:hyperlink w:anchor="_Toc39565438" w:history="1">
            <w:r w:rsidR="00CF5343" w:rsidRPr="00E01490">
              <w:rPr>
                <w:rStyle w:val="Hyperlink"/>
                <w:noProof/>
              </w:rPr>
              <w:t>3.2.10 Standards für die Sauberkeit in den Schulungs- bzw. Prüfungsräumen</w:t>
            </w:r>
            <w:r w:rsidR="00CF5343">
              <w:rPr>
                <w:noProof/>
                <w:webHidden/>
              </w:rPr>
              <w:tab/>
            </w:r>
            <w:r w:rsidR="00CF5343">
              <w:rPr>
                <w:noProof/>
                <w:webHidden/>
              </w:rPr>
              <w:fldChar w:fldCharType="begin"/>
            </w:r>
            <w:r w:rsidR="00CF5343">
              <w:rPr>
                <w:noProof/>
                <w:webHidden/>
              </w:rPr>
              <w:instrText xml:space="preserve"> PAGEREF _Toc39565438 \h </w:instrText>
            </w:r>
            <w:r w:rsidR="00CF5343">
              <w:rPr>
                <w:noProof/>
                <w:webHidden/>
              </w:rPr>
            </w:r>
            <w:r w:rsidR="00CF5343">
              <w:rPr>
                <w:noProof/>
                <w:webHidden/>
              </w:rPr>
              <w:fldChar w:fldCharType="separate"/>
            </w:r>
            <w:r w:rsidR="00B15FB3">
              <w:rPr>
                <w:noProof/>
                <w:webHidden/>
              </w:rPr>
              <w:t>8</w:t>
            </w:r>
            <w:r w:rsidR="00CF5343">
              <w:rPr>
                <w:noProof/>
                <w:webHidden/>
              </w:rPr>
              <w:fldChar w:fldCharType="end"/>
            </w:r>
          </w:hyperlink>
        </w:p>
        <w:p w14:paraId="3B23ADEF" w14:textId="443C4D77" w:rsidR="00CF5343" w:rsidRDefault="00F268CB">
          <w:pPr>
            <w:pStyle w:val="Verzeichnis3"/>
            <w:tabs>
              <w:tab w:val="right" w:leader="dot" w:pos="9736"/>
            </w:tabs>
            <w:rPr>
              <w:rFonts w:eastAsiaTheme="minorEastAsia"/>
              <w:noProof/>
              <w:lang w:eastAsia="de-DE"/>
            </w:rPr>
          </w:pPr>
          <w:hyperlink w:anchor="_Toc39565439" w:history="1">
            <w:r w:rsidR="00CF5343" w:rsidRPr="00E01490">
              <w:rPr>
                <w:rStyle w:val="Hyperlink"/>
                <w:noProof/>
              </w:rPr>
              <w:t>3.2.11 Kommunikation der Lehrgangs- und Prüfungsbedingungen unter den Präventionsauflagen</w:t>
            </w:r>
            <w:r w:rsidR="00CF5343">
              <w:rPr>
                <w:noProof/>
                <w:webHidden/>
              </w:rPr>
              <w:tab/>
            </w:r>
            <w:r w:rsidR="00CF5343">
              <w:rPr>
                <w:noProof/>
                <w:webHidden/>
              </w:rPr>
              <w:fldChar w:fldCharType="begin"/>
            </w:r>
            <w:r w:rsidR="00CF5343">
              <w:rPr>
                <w:noProof/>
                <w:webHidden/>
              </w:rPr>
              <w:instrText xml:space="preserve"> PAGEREF _Toc39565439 \h </w:instrText>
            </w:r>
            <w:r w:rsidR="00CF5343">
              <w:rPr>
                <w:noProof/>
                <w:webHidden/>
              </w:rPr>
            </w:r>
            <w:r w:rsidR="00CF5343">
              <w:rPr>
                <w:noProof/>
                <w:webHidden/>
              </w:rPr>
              <w:fldChar w:fldCharType="separate"/>
            </w:r>
            <w:r w:rsidR="00B15FB3">
              <w:rPr>
                <w:noProof/>
                <w:webHidden/>
              </w:rPr>
              <w:t>8</w:t>
            </w:r>
            <w:r w:rsidR="00CF5343">
              <w:rPr>
                <w:noProof/>
                <w:webHidden/>
              </w:rPr>
              <w:fldChar w:fldCharType="end"/>
            </w:r>
          </w:hyperlink>
        </w:p>
        <w:p w14:paraId="62D488E8" w14:textId="1071746B" w:rsidR="00CF5343" w:rsidRDefault="00F268CB">
          <w:pPr>
            <w:pStyle w:val="Verzeichnis2"/>
            <w:tabs>
              <w:tab w:val="right" w:leader="dot" w:pos="9736"/>
            </w:tabs>
            <w:rPr>
              <w:rFonts w:eastAsiaTheme="minorEastAsia"/>
              <w:noProof/>
              <w:lang w:eastAsia="de-DE"/>
            </w:rPr>
          </w:pPr>
          <w:hyperlink w:anchor="_Toc39565440" w:history="1">
            <w:r w:rsidR="00CF5343" w:rsidRPr="00E01490">
              <w:rPr>
                <w:rStyle w:val="Hyperlink"/>
                <w:b/>
                <w:noProof/>
              </w:rPr>
              <w:t>3.3 Kriterien für die Arbeit im Verwaltungsbereich</w:t>
            </w:r>
            <w:r w:rsidR="00CF5343">
              <w:rPr>
                <w:noProof/>
                <w:webHidden/>
              </w:rPr>
              <w:tab/>
            </w:r>
            <w:r w:rsidR="00CF5343">
              <w:rPr>
                <w:noProof/>
                <w:webHidden/>
              </w:rPr>
              <w:fldChar w:fldCharType="begin"/>
            </w:r>
            <w:r w:rsidR="00CF5343">
              <w:rPr>
                <w:noProof/>
                <w:webHidden/>
              </w:rPr>
              <w:instrText xml:space="preserve"> PAGEREF _Toc39565440 \h </w:instrText>
            </w:r>
            <w:r w:rsidR="00CF5343">
              <w:rPr>
                <w:noProof/>
                <w:webHidden/>
              </w:rPr>
            </w:r>
            <w:r w:rsidR="00CF5343">
              <w:rPr>
                <w:noProof/>
                <w:webHidden/>
              </w:rPr>
              <w:fldChar w:fldCharType="separate"/>
            </w:r>
            <w:r w:rsidR="00B15FB3">
              <w:rPr>
                <w:noProof/>
                <w:webHidden/>
              </w:rPr>
              <w:t>8</w:t>
            </w:r>
            <w:r w:rsidR="00CF5343">
              <w:rPr>
                <w:noProof/>
                <w:webHidden/>
              </w:rPr>
              <w:fldChar w:fldCharType="end"/>
            </w:r>
          </w:hyperlink>
        </w:p>
        <w:p w14:paraId="0E951961" w14:textId="71723942" w:rsidR="00CF5343" w:rsidRDefault="00F268CB">
          <w:pPr>
            <w:pStyle w:val="Verzeichnis2"/>
            <w:tabs>
              <w:tab w:val="right" w:leader="dot" w:pos="9736"/>
            </w:tabs>
            <w:rPr>
              <w:rFonts w:eastAsiaTheme="minorEastAsia"/>
              <w:noProof/>
              <w:lang w:eastAsia="de-DE"/>
            </w:rPr>
          </w:pPr>
          <w:hyperlink w:anchor="_Toc39565441" w:history="1">
            <w:r w:rsidR="00CF5343" w:rsidRPr="00E01490">
              <w:rPr>
                <w:rStyle w:val="Hyperlink"/>
                <w:b/>
                <w:noProof/>
              </w:rPr>
              <w:t>3.3.1 Bürobesetzung / Arbeitsplatzgestaltung</w:t>
            </w:r>
            <w:r w:rsidR="00CF5343">
              <w:rPr>
                <w:noProof/>
                <w:webHidden/>
              </w:rPr>
              <w:tab/>
            </w:r>
            <w:r w:rsidR="00CF5343">
              <w:rPr>
                <w:noProof/>
                <w:webHidden/>
              </w:rPr>
              <w:fldChar w:fldCharType="begin"/>
            </w:r>
            <w:r w:rsidR="00CF5343">
              <w:rPr>
                <w:noProof/>
                <w:webHidden/>
              </w:rPr>
              <w:instrText xml:space="preserve"> PAGEREF _Toc39565441 \h </w:instrText>
            </w:r>
            <w:r w:rsidR="00CF5343">
              <w:rPr>
                <w:noProof/>
                <w:webHidden/>
              </w:rPr>
            </w:r>
            <w:r w:rsidR="00CF5343">
              <w:rPr>
                <w:noProof/>
                <w:webHidden/>
              </w:rPr>
              <w:fldChar w:fldCharType="separate"/>
            </w:r>
            <w:r w:rsidR="00B15FB3">
              <w:rPr>
                <w:noProof/>
                <w:webHidden/>
              </w:rPr>
              <w:t>8</w:t>
            </w:r>
            <w:r w:rsidR="00CF5343">
              <w:rPr>
                <w:noProof/>
                <w:webHidden/>
              </w:rPr>
              <w:fldChar w:fldCharType="end"/>
            </w:r>
          </w:hyperlink>
        </w:p>
        <w:p w14:paraId="08FB63B3" w14:textId="4484DC87" w:rsidR="00CF5343" w:rsidRDefault="00F268CB">
          <w:pPr>
            <w:pStyle w:val="Verzeichnis2"/>
            <w:tabs>
              <w:tab w:val="right" w:leader="dot" w:pos="9736"/>
            </w:tabs>
            <w:rPr>
              <w:rFonts w:eastAsiaTheme="minorEastAsia"/>
              <w:noProof/>
              <w:lang w:eastAsia="de-DE"/>
            </w:rPr>
          </w:pPr>
          <w:hyperlink w:anchor="_Toc39565442" w:history="1">
            <w:r w:rsidR="00CF5343" w:rsidRPr="00E01490">
              <w:rPr>
                <w:rStyle w:val="Hyperlink"/>
                <w:b/>
                <w:noProof/>
              </w:rPr>
              <w:t>3.3.2 Arbeitsorganisation</w:t>
            </w:r>
            <w:r w:rsidR="00CF5343">
              <w:rPr>
                <w:noProof/>
                <w:webHidden/>
              </w:rPr>
              <w:tab/>
            </w:r>
            <w:r w:rsidR="00CF5343">
              <w:rPr>
                <w:noProof/>
                <w:webHidden/>
              </w:rPr>
              <w:fldChar w:fldCharType="begin"/>
            </w:r>
            <w:r w:rsidR="00CF5343">
              <w:rPr>
                <w:noProof/>
                <w:webHidden/>
              </w:rPr>
              <w:instrText xml:space="preserve"> PAGEREF _Toc39565442 \h </w:instrText>
            </w:r>
            <w:r w:rsidR="00CF5343">
              <w:rPr>
                <w:noProof/>
                <w:webHidden/>
              </w:rPr>
            </w:r>
            <w:r w:rsidR="00CF5343">
              <w:rPr>
                <w:noProof/>
                <w:webHidden/>
              </w:rPr>
              <w:fldChar w:fldCharType="separate"/>
            </w:r>
            <w:r w:rsidR="00B15FB3">
              <w:rPr>
                <w:noProof/>
                <w:webHidden/>
              </w:rPr>
              <w:t>8</w:t>
            </w:r>
            <w:r w:rsidR="00CF5343">
              <w:rPr>
                <w:noProof/>
                <w:webHidden/>
              </w:rPr>
              <w:fldChar w:fldCharType="end"/>
            </w:r>
          </w:hyperlink>
        </w:p>
        <w:p w14:paraId="2F2C8C1E" w14:textId="67EA389F" w:rsidR="00CF5343" w:rsidRDefault="00F268CB">
          <w:pPr>
            <w:pStyle w:val="Verzeichnis2"/>
            <w:tabs>
              <w:tab w:val="right" w:leader="dot" w:pos="9736"/>
            </w:tabs>
            <w:rPr>
              <w:rFonts w:eastAsiaTheme="minorEastAsia"/>
              <w:noProof/>
              <w:lang w:eastAsia="de-DE"/>
            </w:rPr>
          </w:pPr>
          <w:hyperlink w:anchor="_Toc39565443" w:history="1">
            <w:r w:rsidR="00CF5343" w:rsidRPr="00E01490">
              <w:rPr>
                <w:rStyle w:val="Hyperlink"/>
                <w:b/>
                <w:noProof/>
              </w:rPr>
              <w:t>3.3.3 Arbeitszeit- und Pausenregelung</w:t>
            </w:r>
            <w:r w:rsidR="00CF5343">
              <w:rPr>
                <w:noProof/>
                <w:webHidden/>
              </w:rPr>
              <w:tab/>
            </w:r>
            <w:r w:rsidR="00CF5343">
              <w:rPr>
                <w:noProof/>
                <w:webHidden/>
              </w:rPr>
              <w:fldChar w:fldCharType="begin"/>
            </w:r>
            <w:r w:rsidR="00CF5343">
              <w:rPr>
                <w:noProof/>
                <w:webHidden/>
              </w:rPr>
              <w:instrText xml:space="preserve"> PAGEREF _Toc39565443 \h </w:instrText>
            </w:r>
            <w:r w:rsidR="00CF5343">
              <w:rPr>
                <w:noProof/>
                <w:webHidden/>
              </w:rPr>
            </w:r>
            <w:r w:rsidR="00CF5343">
              <w:rPr>
                <w:noProof/>
                <w:webHidden/>
              </w:rPr>
              <w:fldChar w:fldCharType="separate"/>
            </w:r>
            <w:r w:rsidR="00B15FB3">
              <w:rPr>
                <w:noProof/>
                <w:webHidden/>
              </w:rPr>
              <w:t>9</w:t>
            </w:r>
            <w:r w:rsidR="00CF5343">
              <w:rPr>
                <w:noProof/>
                <w:webHidden/>
              </w:rPr>
              <w:fldChar w:fldCharType="end"/>
            </w:r>
          </w:hyperlink>
        </w:p>
        <w:p w14:paraId="5B081651" w14:textId="37C0E44F" w:rsidR="00CF5343" w:rsidRDefault="00F268CB">
          <w:pPr>
            <w:pStyle w:val="Verzeichnis1"/>
            <w:tabs>
              <w:tab w:val="right" w:leader="dot" w:pos="9736"/>
            </w:tabs>
            <w:rPr>
              <w:rFonts w:eastAsiaTheme="minorEastAsia"/>
              <w:noProof/>
              <w:lang w:eastAsia="de-DE"/>
            </w:rPr>
          </w:pPr>
          <w:hyperlink w:anchor="_Toc39565444" w:history="1">
            <w:r w:rsidR="00CF5343" w:rsidRPr="00E01490">
              <w:rPr>
                <w:rStyle w:val="Hyperlink"/>
                <w:b/>
                <w:noProof/>
              </w:rPr>
              <w:t>4. Basishygiene</w:t>
            </w:r>
            <w:r w:rsidR="00CF5343">
              <w:rPr>
                <w:noProof/>
                <w:webHidden/>
              </w:rPr>
              <w:tab/>
            </w:r>
            <w:r w:rsidR="00CF5343">
              <w:rPr>
                <w:noProof/>
                <w:webHidden/>
              </w:rPr>
              <w:fldChar w:fldCharType="begin"/>
            </w:r>
            <w:r w:rsidR="00CF5343">
              <w:rPr>
                <w:noProof/>
                <w:webHidden/>
              </w:rPr>
              <w:instrText xml:space="preserve"> PAGEREF _Toc39565444 \h </w:instrText>
            </w:r>
            <w:r w:rsidR="00CF5343">
              <w:rPr>
                <w:noProof/>
                <w:webHidden/>
              </w:rPr>
            </w:r>
            <w:r w:rsidR="00CF5343">
              <w:rPr>
                <w:noProof/>
                <w:webHidden/>
              </w:rPr>
              <w:fldChar w:fldCharType="separate"/>
            </w:r>
            <w:r w:rsidR="00B15FB3">
              <w:rPr>
                <w:noProof/>
                <w:webHidden/>
              </w:rPr>
              <w:t>9</w:t>
            </w:r>
            <w:r w:rsidR="00CF5343">
              <w:rPr>
                <w:noProof/>
                <w:webHidden/>
              </w:rPr>
              <w:fldChar w:fldCharType="end"/>
            </w:r>
          </w:hyperlink>
        </w:p>
        <w:p w14:paraId="604CFCD6" w14:textId="6928867B" w:rsidR="00CF5343" w:rsidRDefault="00F268CB">
          <w:pPr>
            <w:pStyle w:val="Verzeichnis2"/>
            <w:tabs>
              <w:tab w:val="right" w:leader="dot" w:pos="9736"/>
            </w:tabs>
            <w:rPr>
              <w:rFonts w:eastAsiaTheme="minorEastAsia"/>
              <w:noProof/>
              <w:lang w:eastAsia="de-DE"/>
            </w:rPr>
          </w:pPr>
          <w:hyperlink w:anchor="_Toc39565445" w:history="1">
            <w:r w:rsidR="00CF5343" w:rsidRPr="00E01490">
              <w:rPr>
                <w:rStyle w:val="Hyperlink"/>
                <w:b/>
                <w:noProof/>
              </w:rPr>
              <w:t>4.1 Reinigung und Desinfektion</w:t>
            </w:r>
            <w:r w:rsidR="00CF5343">
              <w:rPr>
                <w:noProof/>
                <w:webHidden/>
              </w:rPr>
              <w:tab/>
            </w:r>
            <w:r w:rsidR="00CF5343">
              <w:rPr>
                <w:noProof/>
                <w:webHidden/>
              </w:rPr>
              <w:fldChar w:fldCharType="begin"/>
            </w:r>
            <w:r w:rsidR="00CF5343">
              <w:rPr>
                <w:noProof/>
                <w:webHidden/>
              </w:rPr>
              <w:instrText xml:space="preserve"> PAGEREF _Toc39565445 \h </w:instrText>
            </w:r>
            <w:r w:rsidR="00CF5343">
              <w:rPr>
                <w:noProof/>
                <w:webHidden/>
              </w:rPr>
            </w:r>
            <w:r w:rsidR="00CF5343">
              <w:rPr>
                <w:noProof/>
                <w:webHidden/>
              </w:rPr>
              <w:fldChar w:fldCharType="separate"/>
            </w:r>
            <w:r w:rsidR="00B15FB3">
              <w:rPr>
                <w:noProof/>
                <w:webHidden/>
              </w:rPr>
              <w:t>9</w:t>
            </w:r>
            <w:r w:rsidR="00CF5343">
              <w:rPr>
                <w:noProof/>
                <w:webHidden/>
              </w:rPr>
              <w:fldChar w:fldCharType="end"/>
            </w:r>
          </w:hyperlink>
        </w:p>
        <w:p w14:paraId="048C8EAA" w14:textId="153FC70E" w:rsidR="00CF5343" w:rsidRDefault="00F268CB">
          <w:pPr>
            <w:pStyle w:val="Verzeichnis3"/>
            <w:tabs>
              <w:tab w:val="right" w:leader="dot" w:pos="9736"/>
            </w:tabs>
            <w:rPr>
              <w:rFonts w:eastAsiaTheme="minorEastAsia"/>
              <w:noProof/>
              <w:lang w:eastAsia="de-DE"/>
            </w:rPr>
          </w:pPr>
          <w:hyperlink w:anchor="_Toc39565446" w:history="1">
            <w:r w:rsidR="00CF5343" w:rsidRPr="00E01490">
              <w:rPr>
                <w:rStyle w:val="Hyperlink"/>
                <w:noProof/>
              </w:rPr>
              <w:t>4.1.1 Allgemeines</w:t>
            </w:r>
            <w:r w:rsidR="00CF5343">
              <w:rPr>
                <w:noProof/>
                <w:webHidden/>
              </w:rPr>
              <w:tab/>
            </w:r>
            <w:r w:rsidR="00CF5343">
              <w:rPr>
                <w:noProof/>
                <w:webHidden/>
              </w:rPr>
              <w:fldChar w:fldCharType="begin"/>
            </w:r>
            <w:r w:rsidR="00CF5343">
              <w:rPr>
                <w:noProof/>
                <w:webHidden/>
              </w:rPr>
              <w:instrText xml:space="preserve"> PAGEREF _Toc39565446 \h </w:instrText>
            </w:r>
            <w:r w:rsidR="00CF5343">
              <w:rPr>
                <w:noProof/>
                <w:webHidden/>
              </w:rPr>
            </w:r>
            <w:r w:rsidR="00CF5343">
              <w:rPr>
                <w:noProof/>
                <w:webHidden/>
              </w:rPr>
              <w:fldChar w:fldCharType="separate"/>
            </w:r>
            <w:r w:rsidR="00B15FB3">
              <w:rPr>
                <w:noProof/>
                <w:webHidden/>
              </w:rPr>
              <w:t>9</w:t>
            </w:r>
            <w:r w:rsidR="00CF5343">
              <w:rPr>
                <w:noProof/>
                <w:webHidden/>
              </w:rPr>
              <w:fldChar w:fldCharType="end"/>
            </w:r>
          </w:hyperlink>
        </w:p>
        <w:p w14:paraId="1F49B8F8" w14:textId="60303C54" w:rsidR="00CF5343" w:rsidRDefault="00F268CB">
          <w:pPr>
            <w:pStyle w:val="Verzeichnis3"/>
            <w:tabs>
              <w:tab w:val="right" w:leader="dot" w:pos="9736"/>
            </w:tabs>
            <w:rPr>
              <w:rFonts w:eastAsiaTheme="minorEastAsia"/>
              <w:noProof/>
              <w:lang w:eastAsia="de-DE"/>
            </w:rPr>
          </w:pPr>
          <w:hyperlink w:anchor="_Toc39565447" w:history="1">
            <w:r w:rsidR="00CF5343" w:rsidRPr="00E01490">
              <w:rPr>
                <w:rStyle w:val="Hyperlink"/>
                <w:noProof/>
              </w:rPr>
              <w:t>4.1.2 Händehygiene</w:t>
            </w:r>
            <w:r w:rsidR="00CF5343">
              <w:rPr>
                <w:noProof/>
                <w:webHidden/>
              </w:rPr>
              <w:tab/>
            </w:r>
            <w:r w:rsidR="00CF5343">
              <w:rPr>
                <w:noProof/>
                <w:webHidden/>
              </w:rPr>
              <w:fldChar w:fldCharType="begin"/>
            </w:r>
            <w:r w:rsidR="00CF5343">
              <w:rPr>
                <w:noProof/>
                <w:webHidden/>
              </w:rPr>
              <w:instrText xml:space="preserve"> PAGEREF _Toc39565447 \h </w:instrText>
            </w:r>
            <w:r w:rsidR="00CF5343">
              <w:rPr>
                <w:noProof/>
                <w:webHidden/>
              </w:rPr>
            </w:r>
            <w:r w:rsidR="00CF5343">
              <w:rPr>
                <w:noProof/>
                <w:webHidden/>
              </w:rPr>
              <w:fldChar w:fldCharType="separate"/>
            </w:r>
            <w:r w:rsidR="00B15FB3">
              <w:rPr>
                <w:noProof/>
                <w:webHidden/>
              </w:rPr>
              <w:t>10</w:t>
            </w:r>
            <w:r w:rsidR="00CF5343">
              <w:rPr>
                <w:noProof/>
                <w:webHidden/>
              </w:rPr>
              <w:fldChar w:fldCharType="end"/>
            </w:r>
          </w:hyperlink>
        </w:p>
        <w:p w14:paraId="6A49D82F" w14:textId="20D578B7" w:rsidR="00CF5343" w:rsidRDefault="00F268CB">
          <w:pPr>
            <w:pStyle w:val="Verzeichnis3"/>
            <w:tabs>
              <w:tab w:val="right" w:leader="dot" w:pos="9736"/>
            </w:tabs>
            <w:rPr>
              <w:rFonts w:eastAsiaTheme="minorEastAsia"/>
              <w:noProof/>
              <w:lang w:eastAsia="de-DE"/>
            </w:rPr>
          </w:pPr>
          <w:hyperlink w:anchor="_Toc39565448" w:history="1">
            <w:r w:rsidR="00CF5343" w:rsidRPr="00E01490">
              <w:rPr>
                <w:rStyle w:val="Hyperlink"/>
                <w:noProof/>
              </w:rPr>
              <w:t>4.1.3 Behandlung von Flächen und Gegenständen</w:t>
            </w:r>
            <w:r w:rsidR="00CF5343">
              <w:rPr>
                <w:noProof/>
                <w:webHidden/>
              </w:rPr>
              <w:tab/>
            </w:r>
            <w:r w:rsidR="00CF5343">
              <w:rPr>
                <w:noProof/>
                <w:webHidden/>
              </w:rPr>
              <w:fldChar w:fldCharType="begin"/>
            </w:r>
            <w:r w:rsidR="00CF5343">
              <w:rPr>
                <w:noProof/>
                <w:webHidden/>
              </w:rPr>
              <w:instrText xml:space="preserve"> PAGEREF _Toc39565448 \h </w:instrText>
            </w:r>
            <w:r w:rsidR="00CF5343">
              <w:rPr>
                <w:noProof/>
                <w:webHidden/>
              </w:rPr>
            </w:r>
            <w:r w:rsidR="00CF5343">
              <w:rPr>
                <w:noProof/>
                <w:webHidden/>
              </w:rPr>
              <w:fldChar w:fldCharType="separate"/>
            </w:r>
            <w:r w:rsidR="00B15FB3">
              <w:rPr>
                <w:noProof/>
                <w:webHidden/>
              </w:rPr>
              <w:t>10</w:t>
            </w:r>
            <w:r w:rsidR="00CF5343">
              <w:rPr>
                <w:noProof/>
                <w:webHidden/>
              </w:rPr>
              <w:fldChar w:fldCharType="end"/>
            </w:r>
          </w:hyperlink>
        </w:p>
        <w:p w14:paraId="2DF777F7" w14:textId="5874EDF3" w:rsidR="00CF5343" w:rsidRDefault="00F268CB">
          <w:pPr>
            <w:pStyle w:val="Verzeichnis3"/>
            <w:tabs>
              <w:tab w:val="right" w:leader="dot" w:pos="9736"/>
            </w:tabs>
            <w:rPr>
              <w:rFonts w:eastAsiaTheme="minorEastAsia"/>
              <w:noProof/>
              <w:lang w:eastAsia="de-DE"/>
            </w:rPr>
          </w:pPr>
          <w:hyperlink w:anchor="_Toc39565449" w:history="1">
            <w:r w:rsidR="00CF5343" w:rsidRPr="00E01490">
              <w:rPr>
                <w:rStyle w:val="Hyperlink"/>
                <w:noProof/>
              </w:rPr>
              <w:t>4.1.4 Frequenz von Reinigungsmaßnahmen</w:t>
            </w:r>
            <w:r w:rsidR="00CF5343">
              <w:rPr>
                <w:noProof/>
                <w:webHidden/>
              </w:rPr>
              <w:tab/>
            </w:r>
            <w:r w:rsidR="00CF5343">
              <w:rPr>
                <w:noProof/>
                <w:webHidden/>
              </w:rPr>
              <w:fldChar w:fldCharType="begin"/>
            </w:r>
            <w:r w:rsidR="00CF5343">
              <w:rPr>
                <w:noProof/>
                <w:webHidden/>
              </w:rPr>
              <w:instrText xml:space="preserve"> PAGEREF _Toc39565449 \h </w:instrText>
            </w:r>
            <w:r w:rsidR="00CF5343">
              <w:rPr>
                <w:noProof/>
                <w:webHidden/>
              </w:rPr>
            </w:r>
            <w:r w:rsidR="00CF5343">
              <w:rPr>
                <w:noProof/>
                <w:webHidden/>
              </w:rPr>
              <w:fldChar w:fldCharType="separate"/>
            </w:r>
            <w:r w:rsidR="00B15FB3">
              <w:rPr>
                <w:noProof/>
                <w:webHidden/>
              </w:rPr>
              <w:t>11</w:t>
            </w:r>
            <w:r w:rsidR="00CF5343">
              <w:rPr>
                <w:noProof/>
                <w:webHidden/>
              </w:rPr>
              <w:fldChar w:fldCharType="end"/>
            </w:r>
          </w:hyperlink>
        </w:p>
        <w:p w14:paraId="09C1FFFF" w14:textId="657FDD73" w:rsidR="00CF5343" w:rsidRDefault="00F268CB">
          <w:pPr>
            <w:pStyle w:val="Verzeichnis3"/>
            <w:tabs>
              <w:tab w:val="right" w:leader="dot" w:pos="9736"/>
            </w:tabs>
            <w:rPr>
              <w:rFonts w:eastAsiaTheme="minorEastAsia"/>
              <w:noProof/>
              <w:lang w:eastAsia="de-DE"/>
            </w:rPr>
          </w:pPr>
          <w:hyperlink w:anchor="_Toc39565450" w:history="1">
            <w:r w:rsidR="00CF5343" w:rsidRPr="00E01490">
              <w:rPr>
                <w:rStyle w:val="Hyperlink"/>
                <w:noProof/>
              </w:rPr>
              <w:t>4.1.5 Ruhezonen / Sitzecken</w:t>
            </w:r>
            <w:r w:rsidR="00CF5343">
              <w:rPr>
                <w:noProof/>
                <w:webHidden/>
              </w:rPr>
              <w:tab/>
            </w:r>
            <w:r w:rsidR="00CF5343">
              <w:rPr>
                <w:noProof/>
                <w:webHidden/>
              </w:rPr>
              <w:fldChar w:fldCharType="begin"/>
            </w:r>
            <w:r w:rsidR="00CF5343">
              <w:rPr>
                <w:noProof/>
                <w:webHidden/>
              </w:rPr>
              <w:instrText xml:space="preserve"> PAGEREF _Toc39565450 \h </w:instrText>
            </w:r>
            <w:r w:rsidR="00CF5343">
              <w:rPr>
                <w:noProof/>
                <w:webHidden/>
              </w:rPr>
            </w:r>
            <w:r w:rsidR="00CF5343">
              <w:rPr>
                <w:noProof/>
                <w:webHidden/>
              </w:rPr>
              <w:fldChar w:fldCharType="separate"/>
            </w:r>
            <w:r w:rsidR="00B15FB3">
              <w:rPr>
                <w:noProof/>
                <w:webHidden/>
              </w:rPr>
              <w:t>11</w:t>
            </w:r>
            <w:r w:rsidR="00CF5343">
              <w:rPr>
                <w:noProof/>
                <w:webHidden/>
              </w:rPr>
              <w:fldChar w:fldCharType="end"/>
            </w:r>
          </w:hyperlink>
        </w:p>
        <w:p w14:paraId="72869521" w14:textId="67F4171A" w:rsidR="00CF5343" w:rsidRDefault="00F268CB">
          <w:pPr>
            <w:pStyle w:val="Verzeichnis2"/>
            <w:tabs>
              <w:tab w:val="right" w:leader="dot" w:pos="9736"/>
            </w:tabs>
            <w:rPr>
              <w:rFonts w:eastAsiaTheme="minorEastAsia"/>
              <w:noProof/>
              <w:lang w:eastAsia="de-DE"/>
            </w:rPr>
          </w:pPr>
          <w:hyperlink w:anchor="_Toc39565451" w:history="1">
            <w:r w:rsidR="00CF5343" w:rsidRPr="00E01490">
              <w:rPr>
                <w:rStyle w:val="Hyperlink"/>
                <w:b/>
                <w:noProof/>
              </w:rPr>
              <w:t>4.2 Lebensmittelhygiene</w:t>
            </w:r>
            <w:r w:rsidR="00CF5343">
              <w:rPr>
                <w:noProof/>
                <w:webHidden/>
              </w:rPr>
              <w:tab/>
            </w:r>
            <w:r w:rsidR="00CF5343">
              <w:rPr>
                <w:noProof/>
                <w:webHidden/>
              </w:rPr>
              <w:fldChar w:fldCharType="begin"/>
            </w:r>
            <w:r w:rsidR="00CF5343">
              <w:rPr>
                <w:noProof/>
                <w:webHidden/>
              </w:rPr>
              <w:instrText xml:space="preserve"> PAGEREF _Toc39565451 \h </w:instrText>
            </w:r>
            <w:r w:rsidR="00CF5343">
              <w:rPr>
                <w:noProof/>
                <w:webHidden/>
              </w:rPr>
            </w:r>
            <w:r w:rsidR="00CF5343">
              <w:rPr>
                <w:noProof/>
                <w:webHidden/>
              </w:rPr>
              <w:fldChar w:fldCharType="separate"/>
            </w:r>
            <w:r w:rsidR="00B15FB3">
              <w:rPr>
                <w:noProof/>
                <w:webHidden/>
              </w:rPr>
              <w:t>11</w:t>
            </w:r>
            <w:r w:rsidR="00CF5343">
              <w:rPr>
                <w:noProof/>
                <w:webHidden/>
              </w:rPr>
              <w:fldChar w:fldCharType="end"/>
            </w:r>
          </w:hyperlink>
        </w:p>
        <w:p w14:paraId="3013F55F" w14:textId="6B671A53" w:rsidR="00CF5343" w:rsidRDefault="00F268CB">
          <w:pPr>
            <w:pStyle w:val="Verzeichnis3"/>
            <w:tabs>
              <w:tab w:val="right" w:leader="dot" w:pos="9736"/>
            </w:tabs>
            <w:rPr>
              <w:rFonts w:eastAsiaTheme="minorEastAsia"/>
              <w:noProof/>
              <w:lang w:eastAsia="de-DE"/>
            </w:rPr>
          </w:pPr>
          <w:hyperlink w:anchor="_Toc39565452" w:history="1">
            <w:r w:rsidR="00CF5343" w:rsidRPr="00E01490">
              <w:rPr>
                <w:rStyle w:val="Hyperlink"/>
                <w:noProof/>
              </w:rPr>
              <w:t>4.2.1 Mitgebrachte Lebensmittel</w:t>
            </w:r>
            <w:r w:rsidR="00CF5343">
              <w:rPr>
                <w:noProof/>
                <w:webHidden/>
              </w:rPr>
              <w:tab/>
            </w:r>
            <w:r w:rsidR="00CF5343">
              <w:rPr>
                <w:noProof/>
                <w:webHidden/>
              </w:rPr>
              <w:fldChar w:fldCharType="begin"/>
            </w:r>
            <w:r w:rsidR="00CF5343">
              <w:rPr>
                <w:noProof/>
                <w:webHidden/>
              </w:rPr>
              <w:instrText xml:space="preserve"> PAGEREF _Toc39565452 \h </w:instrText>
            </w:r>
            <w:r w:rsidR="00CF5343">
              <w:rPr>
                <w:noProof/>
                <w:webHidden/>
              </w:rPr>
            </w:r>
            <w:r w:rsidR="00CF5343">
              <w:rPr>
                <w:noProof/>
                <w:webHidden/>
              </w:rPr>
              <w:fldChar w:fldCharType="separate"/>
            </w:r>
            <w:r w:rsidR="00B15FB3">
              <w:rPr>
                <w:noProof/>
                <w:webHidden/>
              </w:rPr>
              <w:t>11</w:t>
            </w:r>
            <w:r w:rsidR="00CF5343">
              <w:rPr>
                <w:noProof/>
                <w:webHidden/>
              </w:rPr>
              <w:fldChar w:fldCharType="end"/>
            </w:r>
          </w:hyperlink>
        </w:p>
        <w:p w14:paraId="08B90406" w14:textId="0F436FA8" w:rsidR="00CF5343" w:rsidRDefault="00F268CB">
          <w:pPr>
            <w:pStyle w:val="Verzeichnis3"/>
            <w:tabs>
              <w:tab w:val="right" w:leader="dot" w:pos="9736"/>
            </w:tabs>
            <w:rPr>
              <w:rFonts w:eastAsiaTheme="minorEastAsia"/>
              <w:noProof/>
              <w:lang w:eastAsia="de-DE"/>
            </w:rPr>
          </w:pPr>
          <w:hyperlink w:anchor="_Toc39565453" w:history="1">
            <w:r w:rsidR="00CF5343" w:rsidRPr="00E01490">
              <w:rPr>
                <w:rStyle w:val="Hyperlink"/>
                <w:noProof/>
              </w:rPr>
              <w:t>4.2.2 Reinigungsmaßnahmen</w:t>
            </w:r>
            <w:r w:rsidR="00CF5343">
              <w:rPr>
                <w:noProof/>
                <w:webHidden/>
              </w:rPr>
              <w:tab/>
            </w:r>
            <w:r w:rsidR="00CF5343">
              <w:rPr>
                <w:noProof/>
                <w:webHidden/>
              </w:rPr>
              <w:fldChar w:fldCharType="begin"/>
            </w:r>
            <w:r w:rsidR="00CF5343">
              <w:rPr>
                <w:noProof/>
                <w:webHidden/>
              </w:rPr>
              <w:instrText xml:space="preserve"> PAGEREF _Toc39565453 \h </w:instrText>
            </w:r>
            <w:r w:rsidR="00CF5343">
              <w:rPr>
                <w:noProof/>
                <w:webHidden/>
              </w:rPr>
            </w:r>
            <w:r w:rsidR="00CF5343">
              <w:rPr>
                <w:noProof/>
                <w:webHidden/>
              </w:rPr>
              <w:fldChar w:fldCharType="separate"/>
            </w:r>
            <w:r w:rsidR="00B15FB3">
              <w:rPr>
                <w:noProof/>
                <w:webHidden/>
              </w:rPr>
              <w:t>11</w:t>
            </w:r>
            <w:r w:rsidR="00CF5343">
              <w:rPr>
                <w:noProof/>
                <w:webHidden/>
              </w:rPr>
              <w:fldChar w:fldCharType="end"/>
            </w:r>
          </w:hyperlink>
        </w:p>
        <w:p w14:paraId="3CDC0ABC" w14:textId="2FA875A3" w:rsidR="00CF5343" w:rsidRDefault="00F268CB">
          <w:pPr>
            <w:pStyle w:val="Verzeichnis2"/>
            <w:tabs>
              <w:tab w:val="right" w:leader="dot" w:pos="9736"/>
            </w:tabs>
            <w:rPr>
              <w:rFonts w:eastAsiaTheme="minorEastAsia"/>
              <w:noProof/>
              <w:lang w:eastAsia="de-DE"/>
            </w:rPr>
          </w:pPr>
          <w:hyperlink w:anchor="_Toc39565454" w:history="1">
            <w:r w:rsidR="00CF5343" w:rsidRPr="00E01490">
              <w:rPr>
                <w:rStyle w:val="Hyperlink"/>
                <w:b/>
                <w:noProof/>
              </w:rPr>
              <w:t>4.3 Sonstige Hygienemaßnahmen</w:t>
            </w:r>
            <w:r w:rsidR="00CF5343">
              <w:rPr>
                <w:noProof/>
                <w:webHidden/>
              </w:rPr>
              <w:tab/>
            </w:r>
            <w:r w:rsidR="00CF5343">
              <w:rPr>
                <w:noProof/>
                <w:webHidden/>
              </w:rPr>
              <w:fldChar w:fldCharType="begin"/>
            </w:r>
            <w:r w:rsidR="00CF5343">
              <w:rPr>
                <w:noProof/>
                <w:webHidden/>
              </w:rPr>
              <w:instrText xml:space="preserve"> PAGEREF _Toc39565454 \h </w:instrText>
            </w:r>
            <w:r w:rsidR="00CF5343">
              <w:rPr>
                <w:noProof/>
                <w:webHidden/>
              </w:rPr>
            </w:r>
            <w:r w:rsidR="00CF5343">
              <w:rPr>
                <w:noProof/>
                <w:webHidden/>
              </w:rPr>
              <w:fldChar w:fldCharType="separate"/>
            </w:r>
            <w:r w:rsidR="00B15FB3">
              <w:rPr>
                <w:noProof/>
                <w:webHidden/>
              </w:rPr>
              <w:t>11</w:t>
            </w:r>
            <w:r w:rsidR="00CF5343">
              <w:rPr>
                <w:noProof/>
                <w:webHidden/>
              </w:rPr>
              <w:fldChar w:fldCharType="end"/>
            </w:r>
          </w:hyperlink>
        </w:p>
        <w:p w14:paraId="60949CBF" w14:textId="13EE1C97" w:rsidR="00CF5343" w:rsidRDefault="00F268CB">
          <w:pPr>
            <w:pStyle w:val="Verzeichnis3"/>
            <w:tabs>
              <w:tab w:val="right" w:leader="dot" w:pos="9736"/>
            </w:tabs>
            <w:rPr>
              <w:rFonts w:eastAsiaTheme="minorEastAsia"/>
              <w:noProof/>
              <w:lang w:eastAsia="de-DE"/>
            </w:rPr>
          </w:pPr>
          <w:hyperlink w:anchor="_Toc39565455" w:history="1">
            <w:r w:rsidR="00CF5343" w:rsidRPr="00E01490">
              <w:rPr>
                <w:rStyle w:val="Hyperlink"/>
                <w:noProof/>
              </w:rPr>
              <w:t>4.3.1 Abfallbeseitigung</w:t>
            </w:r>
            <w:r w:rsidR="00CF5343">
              <w:rPr>
                <w:noProof/>
                <w:webHidden/>
              </w:rPr>
              <w:tab/>
            </w:r>
            <w:r w:rsidR="00CF5343">
              <w:rPr>
                <w:noProof/>
                <w:webHidden/>
              </w:rPr>
              <w:fldChar w:fldCharType="begin"/>
            </w:r>
            <w:r w:rsidR="00CF5343">
              <w:rPr>
                <w:noProof/>
                <w:webHidden/>
              </w:rPr>
              <w:instrText xml:space="preserve"> PAGEREF _Toc39565455 \h </w:instrText>
            </w:r>
            <w:r w:rsidR="00CF5343">
              <w:rPr>
                <w:noProof/>
                <w:webHidden/>
              </w:rPr>
            </w:r>
            <w:r w:rsidR="00CF5343">
              <w:rPr>
                <w:noProof/>
                <w:webHidden/>
              </w:rPr>
              <w:fldChar w:fldCharType="separate"/>
            </w:r>
            <w:r w:rsidR="00B15FB3">
              <w:rPr>
                <w:noProof/>
                <w:webHidden/>
              </w:rPr>
              <w:t>11</w:t>
            </w:r>
            <w:r w:rsidR="00CF5343">
              <w:rPr>
                <w:noProof/>
                <w:webHidden/>
              </w:rPr>
              <w:fldChar w:fldCharType="end"/>
            </w:r>
          </w:hyperlink>
        </w:p>
        <w:p w14:paraId="404E2C0B" w14:textId="0AED0435" w:rsidR="00CF5343" w:rsidRDefault="00F268CB">
          <w:pPr>
            <w:pStyle w:val="Verzeichnis3"/>
            <w:tabs>
              <w:tab w:val="right" w:leader="dot" w:pos="9736"/>
            </w:tabs>
            <w:rPr>
              <w:rFonts w:eastAsiaTheme="minorEastAsia"/>
              <w:noProof/>
              <w:lang w:eastAsia="de-DE"/>
            </w:rPr>
          </w:pPr>
          <w:hyperlink w:anchor="_Toc39565456" w:history="1">
            <w:r w:rsidR="00CF5343" w:rsidRPr="00E01490">
              <w:rPr>
                <w:rStyle w:val="Hyperlink"/>
                <w:noProof/>
              </w:rPr>
              <w:t>4.3.2 Schädlingsprophylaxe und -bekämpfung</w:t>
            </w:r>
            <w:r w:rsidR="00CF5343">
              <w:rPr>
                <w:noProof/>
                <w:webHidden/>
              </w:rPr>
              <w:tab/>
            </w:r>
            <w:r w:rsidR="00CF5343">
              <w:rPr>
                <w:noProof/>
                <w:webHidden/>
              </w:rPr>
              <w:fldChar w:fldCharType="begin"/>
            </w:r>
            <w:r w:rsidR="00CF5343">
              <w:rPr>
                <w:noProof/>
                <w:webHidden/>
              </w:rPr>
              <w:instrText xml:space="preserve"> PAGEREF _Toc39565456 \h </w:instrText>
            </w:r>
            <w:r w:rsidR="00CF5343">
              <w:rPr>
                <w:noProof/>
                <w:webHidden/>
              </w:rPr>
            </w:r>
            <w:r w:rsidR="00CF5343">
              <w:rPr>
                <w:noProof/>
                <w:webHidden/>
              </w:rPr>
              <w:fldChar w:fldCharType="separate"/>
            </w:r>
            <w:r w:rsidR="00B15FB3">
              <w:rPr>
                <w:noProof/>
                <w:webHidden/>
              </w:rPr>
              <w:t>12</w:t>
            </w:r>
            <w:r w:rsidR="00CF5343">
              <w:rPr>
                <w:noProof/>
                <w:webHidden/>
              </w:rPr>
              <w:fldChar w:fldCharType="end"/>
            </w:r>
          </w:hyperlink>
        </w:p>
        <w:p w14:paraId="11FC87FA" w14:textId="1051357C" w:rsidR="00CF5343" w:rsidRDefault="00F268CB">
          <w:pPr>
            <w:pStyle w:val="Verzeichnis3"/>
            <w:tabs>
              <w:tab w:val="right" w:leader="dot" w:pos="9736"/>
            </w:tabs>
            <w:rPr>
              <w:rFonts w:eastAsiaTheme="minorEastAsia"/>
              <w:noProof/>
              <w:lang w:eastAsia="de-DE"/>
            </w:rPr>
          </w:pPr>
          <w:hyperlink w:anchor="_Toc39565457" w:history="1">
            <w:r w:rsidR="00CF5343" w:rsidRPr="00E01490">
              <w:rPr>
                <w:rStyle w:val="Hyperlink"/>
                <w:noProof/>
              </w:rPr>
              <w:t>4.3.3 Lüftung</w:t>
            </w:r>
            <w:r w:rsidR="00CF5343">
              <w:rPr>
                <w:noProof/>
                <w:webHidden/>
              </w:rPr>
              <w:tab/>
            </w:r>
            <w:r w:rsidR="00CF5343">
              <w:rPr>
                <w:noProof/>
                <w:webHidden/>
              </w:rPr>
              <w:fldChar w:fldCharType="begin"/>
            </w:r>
            <w:r w:rsidR="00CF5343">
              <w:rPr>
                <w:noProof/>
                <w:webHidden/>
              </w:rPr>
              <w:instrText xml:space="preserve"> PAGEREF _Toc39565457 \h </w:instrText>
            </w:r>
            <w:r w:rsidR="00CF5343">
              <w:rPr>
                <w:noProof/>
                <w:webHidden/>
              </w:rPr>
            </w:r>
            <w:r w:rsidR="00CF5343">
              <w:rPr>
                <w:noProof/>
                <w:webHidden/>
              </w:rPr>
              <w:fldChar w:fldCharType="separate"/>
            </w:r>
            <w:r w:rsidR="00B15FB3">
              <w:rPr>
                <w:noProof/>
                <w:webHidden/>
              </w:rPr>
              <w:t>12</w:t>
            </w:r>
            <w:r w:rsidR="00CF5343">
              <w:rPr>
                <w:noProof/>
                <w:webHidden/>
              </w:rPr>
              <w:fldChar w:fldCharType="end"/>
            </w:r>
          </w:hyperlink>
        </w:p>
        <w:p w14:paraId="1FF93D77" w14:textId="6ABB1836" w:rsidR="00CF5343" w:rsidRDefault="00F268CB">
          <w:pPr>
            <w:pStyle w:val="Verzeichnis3"/>
            <w:tabs>
              <w:tab w:val="left" w:pos="1320"/>
              <w:tab w:val="right" w:leader="dot" w:pos="9736"/>
            </w:tabs>
            <w:rPr>
              <w:rFonts w:eastAsiaTheme="minorEastAsia"/>
              <w:noProof/>
              <w:lang w:eastAsia="de-DE"/>
            </w:rPr>
          </w:pPr>
          <w:hyperlink w:anchor="_Toc39565458" w:history="1">
            <w:r w:rsidR="00CF5343" w:rsidRPr="00E01490">
              <w:rPr>
                <w:rStyle w:val="Hyperlink"/>
                <w:noProof/>
              </w:rPr>
              <w:t>4.3.4</w:t>
            </w:r>
            <w:r w:rsidR="001E2205">
              <w:rPr>
                <w:rFonts w:eastAsiaTheme="minorEastAsia"/>
                <w:noProof/>
                <w:lang w:eastAsia="de-DE"/>
              </w:rPr>
              <w:t xml:space="preserve"> </w:t>
            </w:r>
            <w:r w:rsidR="00CF5343" w:rsidRPr="00E01490">
              <w:rPr>
                <w:rStyle w:val="Hyperlink"/>
                <w:noProof/>
              </w:rPr>
              <w:t>Trinkw</w:t>
            </w:r>
            <w:r w:rsidR="00CF5343" w:rsidRPr="00E01490">
              <w:rPr>
                <w:rStyle w:val="Hyperlink"/>
                <w:noProof/>
              </w:rPr>
              <w:t>a</w:t>
            </w:r>
            <w:r w:rsidR="00CF5343" w:rsidRPr="00E01490">
              <w:rPr>
                <w:rStyle w:val="Hyperlink"/>
                <w:noProof/>
              </w:rPr>
              <w:t>sser</w:t>
            </w:r>
            <w:r w:rsidR="00CF5343">
              <w:rPr>
                <w:noProof/>
                <w:webHidden/>
              </w:rPr>
              <w:tab/>
            </w:r>
            <w:r w:rsidR="00CF5343">
              <w:rPr>
                <w:noProof/>
                <w:webHidden/>
              </w:rPr>
              <w:fldChar w:fldCharType="begin"/>
            </w:r>
            <w:r w:rsidR="00CF5343">
              <w:rPr>
                <w:noProof/>
                <w:webHidden/>
              </w:rPr>
              <w:instrText xml:space="preserve"> PAGEREF _Toc39565458 \h </w:instrText>
            </w:r>
            <w:r w:rsidR="00CF5343">
              <w:rPr>
                <w:noProof/>
                <w:webHidden/>
              </w:rPr>
            </w:r>
            <w:r w:rsidR="00CF5343">
              <w:rPr>
                <w:noProof/>
                <w:webHidden/>
              </w:rPr>
              <w:fldChar w:fldCharType="separate"/>
            </w:r>
            <w:r w:rsidR="00B15FB3">
              <w:rPr>
                <w:noProof/>
                <w:webHidden/>
              </w:rPr>
              <w:t>12</w:t>
            </w:r>
            <w:r w:rsidR="00CF5343">
              <w:rPr>
                <w:noProof/>
                <w:webHidden/>
              </w:rPr>
              <w:fldChar w:fldCharType="end"/>
            </w:r>
          </w:hyperlink>
        </w:p>
        <w:p w14:paraId="37B7C82F" w14:textId="63A1F93A" w:rsidR="00CF5343" w:rsidRDefault="00F268CB">
          <w:pPr>
            <w:pStyle w:val="Verzeichnis2"/>
            <w:tabs>
              <w:tab w:val="right" w:leader="dot" w:pos="9736"/>
            </w:tabs>
            <w:rPr>
              <w:rFonts w:eastAsiaTheme="minorEastAsia"/>
              <w:noProof/>
              <w:lang w:eastAsia="de-DE"/>
            </w:rPr>
          </w:pPr>
          <w:hyperlink w:anchor="_Toc39565459" w:history="1">
            <w:r w:rsidR="00CF5343" w:rsidRPr="00E01490">
              <w:rPr>
                <w:rStyle w:val="Hyperlink"/>
                <w:b/>
                <w:noProof/>
              </w:rPr>
              <w:t>4.4 Erste Hilfe; Schutz des Ersthelfers</w:t>
            </w:r>
            <w:r w:rsidR="00CF5343">
              <w:rPr>
                <w:noProof/>
                <w:webHidden/>
              </w:rPr>
              <w:tab/>
            </w:r>
            <w:r w:rsidR="00CF5343">
              <w:rPr>
                <w:noProof/>
                <w:webHidden/>
              </w:rPr>
              <w:fldChar w:fldCharType="begin"/>
            </w:r>
            <w:r w:rsidR="00CF5343">
              <w:rPr>
                <w:noProof/>
                <w:webHidden/>
              </w:rPr>
              <w:instrText xml:space="preserve"> PAGEREF _Toc39565459 \h </w:instrText>
            </w:r>
            <w:r w:rsidR="00CF5343">
              <w:rPr>
                <w:noProof/>
                <w:webHidden/>
              </w:rPr>
            </w:r>
            <w:r w:rsidR="00CF5343">
              <w:rPr>
                <w:noProof/>
                <w:webHidden/>
              </w:rPr>
              <w:fldChar w:fldCharType="separate"/>
            </w:r>
            <w:r w:rsidR="00B15FB3">
              <w:rPr>
                <w:noProof/>
                <w:webHidden/>
              </w:rPr>
              <w:t>13</w:t>
            </w:r>
            <w:r w:rsidR="00CF5343">
              <w:rPr>
                <w:noProof/>
                <w:webHidden/>
              </w:rPr>
              <w:fldChar w:fldCharType="end"/>
            </w:r>
          </w:hyperlink>
        </w:p>
        <w:p w14:paraId="208797A1" w14:textId="3AC55C37" w:rsidR="00CF5343" w:rsidRDefault="00F268CB">
          <w:pPr>
            <w:pStyle w:val="Verzeichnis3"/>
            <w:tabs>
              <w:tab w:val="right" w:leader="dot" w:pos="9736"/>
            </w:tabs>
            <w:rPr>
              <w:rFonts w:eastAsiaTheme="minorEastAsia"/>
              <w:noProof/>
              <w:lang w:eastAsia="de-DE"/>
            </w:rPr>
          </w:pPr>
          <w:hyperlink w:anchor="_Toc39565460" w:history="1">
            <w:r w:rsidR="00CF5343" w:rsidRPr="00E01490">
              <w:rPr>
                <w:rStyle w:val="Hyperlink"/>
                <w:noProof/>
              </w:rPr>
              <w:t>4.4.1 Hygiene im Erste-Hilfe-Raum</w:t>
            </w:r>
            <w:r w:rsidR="00CF5343">
              <w:rPr>
                <w:noProof/>
                <w:webHidden/>
              </w:rPr>
              <w:tab/>
            </w:r>
            <w:r w:rsidR="00CF5343">
              <w:rPr>
                <w:noProof/>
                <w:webHidden/>
              </w:rPr>
              <w:fldChar w:fldCharType="begin"/>
            </w:r>
            <w:r w:rsidR="00CF5343">
              <w:rPr>
                <w:noProof/>
                <w:webHidden/>
              </w:rPr>
              <w:instrText xml:space="preserve"> PAGEREF _Toc39565460 \h </w:instrText>
            </w:r>
            <w:r w:rsidR="00CF5343">
              <w:rPr>
                <w:noProof/>
                <w:webHidden/>
              </w:rPr>
            </w:r>
            <w:r w:rsidR="00CF5343">
              <w:rPr>
                <w:noProof/>
                <w:webHidden/>
              </w:rPr>
              <w:fldChar w:fldCharType="separate"/>
            </w:r>
            <w:r w:rsidR="00B15FB3">
              <w:rPr>
                <w:noProof/>
                <w:webHidden/>
              </w:rPr>
              <w:t>13</w:t>
            </w:r>
            <w:r w:rsidR="00CF5343">
              <w:rPr>
                <w:noProof/>
                <w:webHidden/>
              </w:rPr>
              <w:fldChar w:fldCharType="end"/>
            </w:r>
          </w:hyperlink>
        </w:p>
        <w:p w14:paraId="0CD0CC31" w14:textId="0DBCC805" w:rsidR="00CF5343" w:rsidRDefault="00F268CB">
          <w:pPr>
            <w:pStyle w:val="Verzeichnis3"/>
            <w:tabs>
              <w:tab w:val="right" w:leader="dot" w:pos="9736"/>
            </w:tabs>
            <w:rPr>
              <w:rFonts w:eastAsiaTheme="minorEastAsia"/>
              <w:noProof/>
              <w:lang w:eastAsia="de-DE"/>
            </w:rPr>
          </w:pPr>
          <w:hyperlink w:anchor="_Toc39565461" w:history="1">
            <w:r w:rsidR="00CF5343" w:rsidRPr="00E01490">
              <w:rPr>
                <w:rStyle w:val="Hyperlink"/>
                <w:noProof/>
              </w:rPr>
              <w:t>4.4.2 Versorg</w:t>
            </w:r>
            <w:r w:rsidR="00CF5343" w:rsidRPr="00E01490">
              <w:rPr>
                <w:rStyle w:val="Hyperlink"/>
                <w:noProof/>
              </w:rPr>
              <w:t>u</w:t>
            </w:r>
            <w:r w:rsidR="00CF5343" w:rsidRPr="00E01490">
              <w:rPr>
                <w:rStyle w:val="Hyperlink"/>
                <w:noProof/>
              </w:rPr>
              <w:t>ng von Bagatellwunden</w:t>
            </w:r>
            <w:r w:rsidR="00CF5343">
              <w:rPr>
                <w:noProof/>
                <w:webHidden/>
              </w:rPr>
              <w:tab/>
            </w:r>
            <w:r w:rsidR="00CF5343">
              <w:rPr>
                <w:noProof/>
                <w:webHidden/>
              </w:rPr>
              <w:fldChar w:fldCharType="begin"/>
            </w:r>
            <w:r w:rsidR="00CF5343">
              <w:rPr>
                <w:noProof/>
                <w:webHidden/>
              </w:rPr>
              <w:instrText xml:space="preserve"> PAGEREF _Toc39565461 \h </w:instrText>
            </w:r>
            <w:r w:rsidR="00CF5343">
              <w:rPr>
                <w:noProof/>
                <w:webHidden/>
              </w:rPr>
            </w:r>
            <w:r w:rsidR="00CF5343">
              <w:rPr>
                <w:noProof/>
                <w:webHidden/>
              </w:rPr>
              <w:fldChar w:fldCharType="separate"/>
            </w:r>
            <w:r w:rsidR="00B15FB3">
              <w:rPr>
                <w:noProof/>
                <w:webHidden/>
              </w:rPr>
              <w:t>13</w:t>
            </w:r>
            <w:r w:rsidR="00CF5343">
              <w:rPr>
                <w:noProof/>
                <w:webHidden/>
              </w:rPr>
              <w:fldChar w:fldCharType="end"/>
            </w:r>
          </w:hyperlink>
        </w:p>
        <w:p w14:paraId="413618F7" w14:textId="51664177" w:rsidR="00CF5343" w:rsidRDefault="00F268CB">
          <w:pPr>
            <w:pStyle w:val="Verzeichnis3"/>
            <w:tabs>
              <w:tab w:val="right" w:leader="dot" w:pos="9736"/>
            </w:tabs>
            <w:rPr>
              <w:rFonts w:eastAsiaTheme="minorEastAsia"/>
              <w:noProof/>
              <w:lang w:eastAsia="de-DE"/>
            </w:rPr>
          </w:pPr>
          <w:hyperlink w:anchor="_Toc39565462" w:history="1">
            <w:r w:rsidR="00CF5343" w:rsidRPr="00E01490">
              <w:rPr>
                <w:rStyle w:val="Hyperlink"/>
                <w:noProof/>
              </w:rPr>
              <w:t>4.4.3 Behandlung kontaminierter Flächen</w:t>
            </w:r>
            <w:r w:rsidR="00CF5343">
              <w:rPr>
                <w:noProof/>
                <w:webHidden/>
              </w:rPr>
              <w:tab/>
            </w:r>
            <w:r w:rsidR="00CF5343">
              <w:rPr>
                <w:noProof/>
                <w:webHidden/>
              </w:rPr>
              <w:fldChar w:fldCharType="begin"/>
            </w:r>
            <w:r w:rsidR="00CF5343">
              <w:rPr>
                <w:noProof/>
                <w:webHidden/>
              </w:rPr>
              <w:instrText xml:space="preserve"> PAGEREF _Toc39565462 \h </w:instrText>
            </w:r>
            <w:r w:rsidR="00CF5343">
              <w:rPr>
                <w:noProof/>
                <w:webHidden/>
              </w:rPr>
            </w:r>
            <w:r w:rsidR="00CF5343">
              <w:rPr>
                <w:noProof/>
                <w:webHidden/>
              </w:rPr>
              <w:fldChar w:fldCharType="separate"/>
            </w:r>
            <w:r w:rsidR="00B15FB3">
              <w:rPr>
                <w:noProof/>
                <w:webHidden/>
              </w:rPr>
              <w:t>13</w:t>
            </w:r>
            <w:r w:rsidR="00CF5343">
              <w:rPr>
                <w:noProof/>
                <w:webHidden/>
              </w:rPr>
              <w:fldChar w:fldCharType="end"/>
            </w:r>
          </w:hyperlink>
        </w:p>
        <w:p w14:paraId="5368992A" w14:textId="6B8048AC" w:rsidR="00CF5343" w:rsidRDefault="00F268CB">
          <w:pPr>
            <w:pStyle w:val="Verzeichnis3"/>
            <w:tabs>
              <w:tab w:val="right" w:leader="dot" w:pos="9736"/>
            </w:tabs>
            <w:rPr>
              <w:rFonts w:eastAsiaTheme="minorEastAsia"/>
              <w:noProof/>
              <w:lang w:eastAsia="de-DE"/>
            </w:rPr>
          </w:pPr>
          <w:hyperlink w:anchor="_Toc39565463" w:history="1">
            <w:r w:rsidR="00CF5343" w:rsidRPr="00E01490">
              <w:rPr>
                <w:rStyle w:val="Hyperlink"/>
                <w:noProof/>
              </w:rPr>
              <w:t>4.4.4 Überprüfung des Erste-Hilfe-Kastens</w:t>
            </w:r>
            <w:r w:rsidR="00CF5343">
              <w:rPr>
                <w:noProof/>
                <w:webHidden/>
              </w:rPr>
              <w:tab/>
            </w:r>
            <w:r w:rsidR="00CF5343">
              <w:rPr>
                <w:noProof/>
                <w:webHidden/>
              </w:rPr>
              <w:fldChar w:fldCharType="begin"/>
            </w:r>
            <w:r w:rsidR="00CF5343">
              <w:rPr>
                <w:noProof/>
                <w:webHidden/>
              </w:rPr>
              <w:instrText xml:space="preserve"> PAGEREF _Toc39565463 \h </w:instrText>
            </w:r>
            <w:r w:rsidR="00CF5343">
              <w:rPr>
                <w:noProof/>
                <w:webHidden/>
              </w:rPr>
            </w:r>
            <w:r w:rsidR="00CF5343">
              <w:rPr>
                <w:noProof/>
                <w:webHidden/>
              </w:rPr>
              <w:fldChar w:fldCharType="separate"/>
            </w:r>
            <w:r w:rsidR="00B15FB3">
              <w:rPr>
                <w:noProof/>
                <w:webHidden/>
              </w:rPr>
              <w:t>13</w:t>
            </w:r>
            <w:r w:rsidR="00CF5343">
              <w:rPr>
                <w:noProof/>
                <w:webHidden/>
              </w:rPr>
              <w:fldChar w:fldCharType="end"/>
            </w:r>
          </w:hyperlink>
        </w:p>
        <w:p w14:paraId="6EC8CD80" w14:textId="0B45CCEF" w:rsidR="00CF5343" w:rsidRDefault="00F268CB">
          <w:pPr>
            <w:pStyle w:val="Verzeichnis3"/>
            <w:tabs>
              <w:tab w:val="right" w:leader="dot" w:pos="9736"/>
            </w:tabs>
            <w:rPr>
              <w:rFonts w:eastAsiaTheme="minorEastAsia"/>
              <w:noProof/>
              <w:lang w:eastAsia="de-DE"/>
            </w:rPr>
          </w:pPr>
          <w:hyperlink w:anchor="_Toc39565464" w:history="1">
            <w:r w:rsidR="00CF5343" w:rsidRPr="00E01490">
              <w:rPr>
                <w:rStyle w:val="Hyperlink"/>
                <w:noProof/>
              </w:rPr>
              <w:t>4.4.5 Notrufnummern</w:t>
            </w:r>
            <w:r w:rsidR="00CF5343">
              <w:rPr>
                <w:noProof/>
                <w:webHidden/>
              </w:rPr>
              <w:tab/>
            </w:r>
            <w:r w:rsidR="00CF5343">
              <w:rPr>
                <w:noProof/>
                <w:webHidden/>
              </w:rPr>
              <w:fldChar w:fldCharType="begin"/>
            </w:r>
            <w:r w:rsidR="00CF5343">
              <w:rPr>
                <w:noProof/>
                <w:webHidden/>
              </w:rPr>
              <w:instrText xml:space="preserve"> PAGEREF _Toc39565464 \h </w:instrText>
            </w:r>
            <w:r w:rsidR="00CF5343">
              <w:rPr>
                <w:noProof/>
                <w:webHidden/>
              </w:rPr>
            </w:r>
            <w:r w:rsidR="00CF5343">
              <w:rPr>
                <w:noProof/>
                <w:webHidden/>
              </w:rPr>
              <w:fldChar w:fldCharType="separate"/>
            </w:r>
            <w:r w:rsidR="00B15FB3">
              <w:rPr>
                <w:noProof/>
                <w:webHidden/>
              </w:rPr>
              <w:t>13</w:t>
            </w:r>
            <w:r w:rsidR="00CF5343">
              <w:rPr>
                <w:noProof/>
                <w:webHidden/>
              </w:rPr>
              <w:fldChar w:fldCharType="end"/>
            </w:r>
          </w:hyperlink>
        </w:p>
        <w:p w14:paraId="63A9040E" w14:textId="6DC2363E" w:rsidR="00EB204B" w:rsidRDefault="00EB204B">
          <w:r>
            <w:rPr>
              <w:b/>
              <w:bCs/>
            </w:rPr>
            <w:fldChar w:fldCharType="end"/>
          </w:r>
        </w:p>
      </w:sdtContent>
    </w:sdt>
    <w:p w14:paraId="3ED1AFAC" w14:textId="77777777" w:rsidR="005D6B32" w:rsidRDefault="005D6B32"/>
    <w:p w14:paraId="0D4D2577" w14:textId="77777777" w:rsidR="00227277" w:rsidRDefault="00227277"/>
    <w:p w14:paraId="63A300BF" w14:textId="77777777" w:rsidR="00A17DAF" w:rsidRDefault="00A17DAF" w:rsidP="00A17DAF">
      <w:pPr>
        <w:pStyle w:val="Default"/>
      </w:pPr>
    </w:p>
    <w:p w14:paraId="7F609A44" w14:textId="77777777" w:rsidR="00A17DAF" w:rsidRDefault="00A17DAF" w:rsidP="00A17DAF">
      <w:pPr>
        <w:pStyle w:val="Default"/>
      </w:pPr>
    </w:p>
    <w:p w14:paraId="380B1EB6" w14:textId="77777777" w:rsidR="00A17DAF" w:rsidRDefault="00A17DAF" w:rsidP="00A17DAF">
      <w:pPr>
        <w:pStyle w:val="Default"/>
      </w:pPr>
    </w:p>
    <w:p w14:paraId="1DA5F746" w14:textId="77777777" w:rsidR="00A17DAF" w:rsidRDefault="00A17DAF" w:rsidP="00A17DAF">
      <w:pPr>
        <w:pStyle w:val="Default"/>
      </w:pPr>
    </w:p>
    <w:p w14:paraId="030BF307" w14:textId="77777777" w:rsidR="00227277" w:rsidRDefault="00227277"/>
    <w:p w14:paraId="7C7708AA" w14:textId="77777777" w:rsidR="00A17DAF" w:rsidRDefault="00A17DAF"/>
    <w:p w14:paraId="7D9459A4" w14:textId="77777777" w:rsidR="00A17DAF" w:rsidRDefault="00A17DAF"/>
    <w:p w14:paraId="3F3FF179" w14:textId="77777777" w:rsidR="00A17DAF" w:rsidRDefault="00A17DAF"/>
    <w:p w14:paraId="131F8367" w14:textId="77777777" w:rsidR="00A17DAF" w:rsidRDefault="00A17DAF"/>
    <w:p w14:paraId="5C8934F1" w14:textId="59A6D759" w:rsidR="00A17DAF" w:rsidRPr="00084E6B" w:rsidRDefault="00A17DAF" w:rsidP="00BF3000">
      <w:pPr>
        <w:pStyle w:val="berschrift1"/>
        <w:spacing w:line="360" w:lineRule="auto"/>
        <w:rPr>
          <w:b/>
          <w:color w:val="44546A" w:themeColor="text2"/>
        </w:rPr>
      </w:pPr>
      <w:bookmarkStart w:id="0" w:name="_Toc39565420"/>
      <w:r w:rsidRPr="00084E6B">
        <w:rPr>
          <w:b/>
          <w:color w:val="44546A" w:themeColor="text2"/>
        </w:rPr>
        <w:lastRenderedPageBreak/>
        <w:t>1. Einleitung</w:t>
      </w:r>
      <w:bookmarkEnd w:id="0"/>
      <w:r w:rsidRPr="00084E6B">
        <w:rPr>
          <w:b/>
          <w:color w:val="44546A" w:themeColor="text2"/>
        </w:rPr>
        <w:t xml:space="preserve"> </w:t>
      </w:r>
    </w:p>
    <w:p w14:paraId="7FE3FA8A" w14:textId="7078CFF6" w:rsidR="00A17DAF" w:rsidRPr="00A17DAF" w:rsidRDefault="00A17DAF" w:rsidP="00F21822">
      <w:pPr>
        <w:spacing w:line="240" w:lineRule="auto"/>
      </w:pPr>
      <w:r w:rsidRPr="00A17DAF">
        <w:t>Gemeinschafts- und Bildungseinrichtungen sind durch die Zusammenarbeit einer Vielzahl von Personen von besonderer hygienisch-epidemiologischer Bedeutu</w:t>
      </w:r>
      <w:r w:rsidR="00BF3000">
        <w:t xml:space="preserve">ng. Sie bedürfen deshalb großer Fürsorge, </w:t>
      </w:r>
      <w:r w:rsidRPr="00A17DAF">
        <w:t xml:space="preserve">um das Wohlbefinden und die Gesundheit von Mitarbeiter*innen und </w:t>
      </w:r>
      <w:r>
        <w:t>Kunden</w:t>
      </w:r>
      <w:r w:rsidR="00C57910">
        <w:t>*innen</w:t>
      </w:r>
      <w:r>
        <w:t xml:space="preserve"> </w:t>
      </w:r>
      <w:r w:rsidRPr="00A17DAF">
        <w:t xml:space="preserve">- besonders auch im Hinblick auf Infektionskrankheiten wie SARS-CoV-2- Infektionen - zu sichern. </w:t>
      </w:r>
    </w:p>
    <w:p w14:paraId="356D9868" w14:textId="0C062EA5" w:rsidR="00A17DAF" w:rsidRPr="00A17DAF" w:rsidRDefault="00A17DAF" w:rsidP="00F21822">
      <w:pPr>
        <w:spacing w:line="240" w:lineRule="auto"/>
      </w:pPr>
      <w:r w:rsidRPr="00A17DAF">
        <w:t xml:space="preserve">Nach § 36 Abs. 1 des Infektionsschutzgesetzes </w:t>
      </w:r>
      <w:r w:rsidR="00BF3000">
        <w:t xml:space="preserve">sind für </w:t>
      </w:r>
      <w:r w:rsidRPr="00A17DAF">
        <w:t>Gemeinschaftseinrichtu</w:t>
      </w:r>
      <w:r w:rsidR="008B6220">
        <w:t xml:space="preserve">ngen und </w:t>
      </w:r>
      <w:r w:rsidRPr="00A17DAF">
        <w:t>Bildungsstätten, innerbetriebliche Verfahrensweisen zur Infektionshygiene in Hygieneplänen fest</w:t>
      </w:r>
      <w:r w:rsidR="00BF3000">
        <w:t>zu</w:t>
      </w:r>
      <w:r w:rsidRPr="00A17DAF">
        <w:t xml:space="preserve">legen. </w:t>
      </w:r>
    </w:p>
    <w:p w14:paraId="487CA359" w14:textId="10A147D9" w:rsidR="00A17DAF" w:rsidRPr="00084E6B" w:rsidRDefault="00A17DAF" w:rsidP="00BF3000">
      <w:pPr>
        <w:pStyle w:val="berschrift1"/>
        <w:spacing w:line="360" w:lineRule="auto"/>
        <w:rPr>
          <w:b/>
          <w:color w:val="44546A" w:themeColor="text2"/>
        </w:rPr>
      </w:pPr>
      <w:bookmarkStart w:id="1" w:name="_Toc39565421"/>
      <w:r w:rsidRPr="00084E6B">
        <w:rPr>
          <w:b/>
          <w:color w:val="44546A" w:themeColor="text2"/>
        </w:rPr>
        <w:t xml:space="preserve">2. </w:t>
      </w:r>
      <w:r w:rsidR="00BE170C" w:rsidRPr="00084E6B">
        <w:rPr>
          <w:b/>
          <w:color w:val="44546A" w:themeColor="text2"/>
        </w:rPr>
        <w:t xml:space="preserve">Allgemeines </w:t>
      </w:r>
      <w:r w:rsidRPr="00084E6B">
        <w:rPr>
          <w:b/>
          <w:color w:val="44546A" w:themeColor="text2"/>
        </w:rPr>
        <w:t>Hygienemanagement</w:t>
      </w:r>
      <w:bookmarkEnd w:id="1"/>
      <w:r w:rsidRPr="00084E6B">
        <w:rPr>
          <w:b/>
          <w:color w:val="44546A" w:themeColor="text2"/>
        </w:rPr>
        <w:t xml:space="preserve"> </w:t>
      </w:r>
    </w:p>
    <w:p w14:paraId="709377CD" w14:textId="3A46085A" w:rsidR="00A17DAF" w:rsidRPr="00F21822" w:rsidRDefault="00B36987" w:rsidP="00F21822">
      <w:pPr>
        <w:spacing w:line="240" w:lineRule="auto"/>
      </w:pPr>
      <w:r w:rsidRPr="00F21822">
        <w:t>Die G</w:t>
      </w:r>
      <w:r w:rsidR="008B6220" w:rsidRPr="00F21822">
        <w:t>eschäftsführung</w:t>
      </w:r>
      <w:r w:rsidRPr="00F21822">
        <w:t xml:space="preserve"> / Leitung der Bildungseinrichtung</w:t>
      </w:r>
      <w:r w:rsidR="00A17DAF" w:rsidRPr="00F21822">
        <w:t xml:space="preserve"> trägt die Verantwortung für die Sicherung der hygienischen Anforderungen</w:t>
      </w:r>
      <w:r w:rsidR="008B6220" w:rsidRPr="00F21822">
        <w:t xml:space="preserve"> und das Pandemiemanagement</w:t>
      </w:r>
      <w:r w:rsidR="00BF3000" w:rsidRPr="00F21822">
        <w:t xml:space="preserve">. </w:t>
      </w:r>
    </w:p>
    <w:p w14:paraId="6467F7F2" w14:textId="77777777" w:rsidR="00A17DAF" w:rsidRPr="00F21822" w:rsidRDefault="00A17DAF" w:rsidP="00F21822">
      <w:pPr>
        <w:spacing w:line="240" w:lineRule="auto"/>
      </w:pPr>
      <w:r w:rsidRPr="00F21822">
        <w:t xml:space="preserve">Zu den Aufgaben des </w:t>
      </w:r>
      <w:r w:rsidR="00BE170C" w:rsidRPr="00F21822">
        <w:t>Pandemiemanagements</w:t>
      </w:r>
      <w:r w:rsidRPr="00F21822">
        <w:t xml:space="preserve"> gehören unter anderem: </w:t>
      </w:r>
    </w:p>
    <w:p w14:paraId="039FDE27" w14:textId="77777777" w:rsidR="00BF3000" w:rsidRPr="00F21822" w:rsidRDefault="00A17DAF" w:rsidP="00F21822">
      <w:pPr>
        <w:pStyle w:val="Default"/>
        <w:numPr>
          <w:ilvl w:val="0"/>
          <w:numId w:val="1"/>
        </w:numPr>
        <w:spacing w:after="30"/>
        <w:rPr>
          <w:rFonts w:ascii="Titillium Web" w:hAnsi="Titillium Web"/>
          <w:sz w:val="22"/>
          <w:szCs w:val="22"/>
        </w:rPr>
      </w:pPr>
      <w:r w:rsidRPr="00F21822">
        <w:rPr>
          <w:rFonts w:ascii="Titillium Web" w:hAnsi="Titillium Web"/>
          <w:sz w:val="22"/>
          <w:szCs w:val="22"/>
        </w:rPr>
        <w:t>Erstellung und A</w:t>
      </w:r>
      <w:r w:rsidR="00BF3000" w:rsidRPr="00F21822">
        <w:rPr>
          <w:rFonts w:ascii="Titillium Web" w:hAnsi="Titillium Web"/>
          <w:sz w:val="22"/>
          <w:szCs w:val="22"/>
        </w:rPr>
        <w:t>ktualisierung von</w:t>
      </w:r>
      <w:r w:rsidR="005C5FB2" w:rsidRPr="00F21822">
        <w:rPr>
          <w:rFonts w:ascii="Titillium Web" w:hAnsi="Titillium Web"/>
          <w:sz w:val="22"/>
          <w:szCs w:val="22"/>
        </w:rPr>
        <w:t xml:space="preserve"> Gefährdungsbeurteilungen</w:t>
      </w:r>
      <w:r w:rsidR="00BF3000" w:rsidRPr="00F21822">
        <w:rPr>
          <w:rFonts w:ascii="Titillium Web" w:hAnsi="Titillium Web"/>
          <w:sz w:val="22"/>
          <w:szCs w:val="22"/>
        </w:rPr>
        <w:t>,</w:t>
      </w:r>
    </w:p>
    <w:p w14:paraId="271A2C7A" w14:textId="77777777" w:rsidR="00BF3000" w:rsidRPr="00F21822" w:rsidRDefault="00A17DAF" w:rsidP="00F21822">
      <w:pPr>
        <w:pStyle w:val="Default"/>
        <w:numPr>
          <w:ilvl w:val="0"/>
          <w:numId w:val="1"/>
        </w:numPr>
        <w:spacing w:after="30"/>
        <w:rPr>
          <w:rFonts w:ascii="Titillium Web" w:hAnsi="Titillium Web"/>
          <w:sz w:val="22"/>
          <w:szCs w:val="22"/>
        </w:rPr>
      </w:pPr>
      <w:r w:rsidRPr="00F21822">
        <w:rPr>
          <w:rFonts w:ascii="Titillium Web" w:hAnsi="Titillium Web"/>
          <w:sz w:val="22"/>
          <w:szCs w:val="22"/>
        </w:rPr>
        <w:t xml:space="preserve">Überwachung der Einhaltung der in den </w:t>
      </w:r>
      <w:r w:rsidR="005C5FB2" w:rsidRPr="00F21822">
        <w:rPr>
          <w:rFonts w:ascii="Titillium Web" w:hAnsi="Titillium Web"/>
          <w:sz w:val="22"/>
          <w:szCs w:val="22"/>
        </w:rPr>
        <w:t>Gefährdungsbeurteilungen</w:t>
      </w:r>
      <w:r w:rsidR="00BF3000" w:rsidRPr="00F21822">
        <w:rPr>
          <w:rFonts w:ascii="Titillium Web" w:hAnsi="Titillium Web"/>
          <w:sz w:val="22"/>
          <w:szCs w:val="22"/>
        </w:rPr>
        <w:t xml:space="preserve"> festgelegten </w:t>
      </w:r>
      <w:r w:rsidR="005C5FB2" w:rsidRPr="00F21822">
        <w:rPr>
          <w:rFonts w:ascii="Titillium Web" w:hAnsi="Titillium Web"/>
          <w:sz w:val="22"/>
          <w:szCs w:val="22"/>
        </w:rPr>
        <w:t>Schutzm</w:t>
      </w:r>
      <w:r w:rsidR="00BF3000" w:rsidRPr="00F21822">
        <w:rPr>
          <w:rFonts w:ascii="Titillium Web" w:hAnsi="Titillium Web"/>
          <w:sz w:val="22"/>
          <w:szCs w:val="22"/>
        </w:rPr>
        <w:t>aßnahmen,</w:t>
      </w:r>
    </w:p>
    <w:p w14:paraId="3229018A" w14:textId="77777777" w:rsidR="00BF3000" w:rsidRPr="00F21822" w:rsidRDefault="00A17DAF" w:rsidP="00F21822">
      <w:pPr>
        <w:pStyle w:val="Default"/>
        <w:numPr>
          <w:ilvl w:val="0"/>
          <w:numId w:val="1"/>
        </w:numPr>
        <w:spacing w:after="30"/>
        <w:rPr>
          <w:rFonts w:ascii="Titillium Web" w:hAnsi="Titillium Web"/>
          <w:sz w:val="22"/>
          <w:szCs w:val="22"/>
        </w:rPr>
      </w:pPr>
      <w:r w:rsidRPr="00F21822">
        <w:rPr>
          <w:rFonts w:ascii="Titillium Web" w:hAnsi="Titillium Web"/>
          <w:sz w:val="22"/>
          <w:szCs w:val="22"/>
        </w:rPr>
        <w:t xml:space="preserve">Durchführung von Hygienebelehrungen </w:t>
      </w:r>
      <w:r w:rsidR="00BF3000" w:rsidRPr="00F21822">
        <w:rPr>
          <w:rFonts w:ascii="Titillium Web" w:hAnsi="Titillium Web"/>
          <w:sz w:val="22"/>
          <w:szCs w:val="22"/>
        </w:rPr>
        <w:t xml:space="preserve">und die </w:t>
      </w:r>
    </w:p>
    <w:p w14:paraId="6A2CCDF7" w14:textId="77777777" w:rsidR="00A17DAF" w:rsidRPr="00F21822" w:rsidRDefault="00A17DAF" w:rsidP="00F21822">
      <w:pPr>
        <w:pStyle w:val="Default"/>
        <w:numPr>
          <w:ilvl w:val="0"/>
          <w:numId w:val="1"/>
        </w:numPr>
        <w:spacing w:after="30"/>
        <w:rPr>
          <w:rFonts w:ascii="Titillium Web" w:hAnsi="Titillium Web"/>
          <w:sz w:val="28"/>
          <w:szCs w:val="28"/>
        </w:rPr>
      </w:pPr>
      <w:r w:rsidRPr="00F21822">
        <w:rPr>
          <w:rFonts w:ascii="Titillium Web" w:hAnsi="Titillium Web"/>
          <w:sz w:val="22"/>
          <w:szCs w:val="22"/>
        </w:rPr>
        <w:t>Zusammenarbeit mit dem Gesundheitsamt</w:t>
      </w:r>
      <w:r w:rsidR="00BF3000" w:rsidRPr="00F21822">
        <w:rPr>
          <w:rFonts w:ascii="Titillium Web" w:hAnsi="Titillium Web"/>
          <w:sz w:val="22"/>
          <w:szCs w:val="22"/>
        </w:rPr>
        <w:t>.</w:t>
      </w:r>
    </w:p>
    <w:p w14:paraId="53E67DD5" w14:textId="77777777" w:rsidR="00A17DAF" w:rsidRDefault="00A17DAF" w:rsidP="00F21822">
      <w:pPr>
        <w:pStyle w:val="Default"/>
        <w:rPr>
          <w:sz w:val="22"/>
          <w:szCs w:val="22"/>
        </w:rPr>
      </w:pPr>
    </w:p>
    <w:p w14:paraId="0CC3639D" w14:textId="77777777" w:rsidR="00BD09A7" w:rsidRDefault="005C5FB2" w:rsidP="00F21822">
      <w:pPr>
        <w:spacing w:line="240" w:lineRule="auto"/>
      </w:pPr>
      <w:r>
        <w:t>Das vorliegende Hygienekonzept</w:t>
      </w:r>
      <w:r w:rsidR="00A17DAF" w:rsidRPr="00DD195E">
        <w:t xml:space="preserve"> dient der Prävention von SARS-CoV-2- Infektionen. So lange dieser in Kraft ist, ist er regelmäßig, mindestens aber ein Mal pro Jahr, hinsichtlich seiner Aktualität zu</w:t>
      </w:r>
      <w:r w:rsidR="00E11E95">
        <w:t xml:space="preserve"> überprüfen und ggf. anzupassen. </w:t>
      </w:r>
    </w:p>
    <w:p w14:paraId="4C762CF2" w14:textId="315A3D6E" w:rsidR="00A17DAF" w:rsidRPr="00DD195E" w:rsidRDefault="00A17DAF" w:rsidP="00F21822">
      <w:pPr>
        <w:spacing w:line="240" w:lineRule="auto"/>
      </w:pPr>
      <w:r w:rsidRPr="00DD195E">
        <w:t xml:space="preserve">Die Überwachung der Einhaltung </w:t>
      </w:r>
      <w:r w:rsidR="00E11E95">
        <w:t xml:space="preserve">der </w:t>
      </w:r>
      <w:r w:rsidR="005C5FB2">
        <w:t>Schutzma</w:t>
      </w:r>
      <w:r w:rsidR="00E11E95">
        <w:t>ßnahmen erfolgt u.</w:t>
      </w:r>
      <w:r w:rsidR="00BD09A7">
        <w:t>a. durch Bege</w:t>
      </w:r>
      <w:r w:rsidRPr="00DD195E">
        <w:t xml:space="preserve">hungen der Einrichtung routinemäßig mindestens jährlich sowie bei aktuellem Bedarf. Die Ergebnisse werden schriftlich dokumentiert. </w:t>
      </w:r>
    </w:p>
    <w:p w14:paraId="28AE8F40" w14:textId="6C91C5BC" w:rsidR="00E11E95" w:rsidRPr="00DD195E" w:rsidRDefault="005C5FB2" w:rsidP="00F21822">
      <w:pPr>
        <w:spacing w:line="240" w:lineRule="auto"/>
      </w:pPr>
      <w:r>
        <w:t>Die Gefährdungsbeurteilungen sowie die entsprechenden Schutzmaßnahmen müssen</w:t>
      </w:r>
      <w:r w:rsidR="00A17DAF" w:rsidRPr="00DD195E">
        <w:t xml:space="preserve"> für alle Beschäftigten </w:t>
      </w:r>
      <w:r w:rsidR="008B6220">
        <w:t xml:space="preserve">und Honorarkräfte </w:t>
      </w:r>
      <w:r w:rsidR="00A17DAF" w:rsidRPr="00DD195E">
        <w:t xml:space="preserve">jederzeit zugänglich und einsehbar sein. Die Beschäftigten werden mindestens einmal pro Jahr hinsichtlich der erforderlichen </w:t>
      </w:r>
      <w:r>
        <w:t>Schutz</w:t>
      </w:r>
      <w:r w:rsidR="00A17DAF" w:rsidRPr="00DD195E">
        <w:t xml:space="preserve">maßnahmen belehrt. Die Belehrung ist schriftlich zu dokumentieren. </w:t>
      </w:r>
    </w:p>
    <w:p w14:paraId="4BBA4525" w14:textId="4E10215C" w:rsidR="00A17DAF" w:rsidRPr="00084E6B" w:rsidRDefault="00A17DAF" w:rsidP="00E11E95">
      <w:pPr>
        <w:pStyle w:val="berschrift1"/>
        <w:spacing w:line="360" w:lineRule="auto"/>
        <w:rPr>
          <w:b/>
          <w:color w:val="44546A" w:themeColor="text2"/>
        </w:rPr>
      </w:pPr>
      <w:bookmarkStart w:id="2" w:name="_Toc39565422"/>
      <w:r w:rsidRPr="0019161E">
        <w:rPr>
          <w:b/>
          <w:color w:val="44546A" w:themeColor="text2"/>
        </w:rPr>
        <w:lastRenderedPageBreak/>
        <w:t>3</w:t>
      </w:r>
      <w:r w:rsidRPr="00084E6B">
        <w:rPr>
          <w:b/>
          <w:color w:val="44546A" w:themeColor="text2"/>
        </w:rPr>
        <w:t>. Prävention von SARS-CoV-2- Infektionen</w:t>
      </w:r>
      <w:bookmarkEnd w:id="2"/>
      <w:r w:rsidRPr="00084E6B">
        <w:rPr>
          <w:b/>
          <w:color w:val="44546A" w:themeColor="text2"/>
        </w:rPr>
        <w:t xml:space="preserve"> </w:t>
      </w:r>
    </w:p>
    <w:p w14:paraId="43FB6D70" w14:textId="017E5DBF" w:rsidR="00A17DAF" w:rsidRPr="00084E6B" w:rsidRDefault="00A17DAF" w:rsidP="00E11E95">
      <w:pPr>
        <w:pStyle w:val="berschrift2"/>
        <w:spacing w:line="360" w:lineRule="auto"/>
        <w:rPr>
          <w:color w:val="44546A" w:themeColor="text2"/>
          <w:szCs w:val="28"/>
        </w:rPr>
      </w:pPr>
      <w:bookmarkStart w:id="3" w:name="_Toc39565423"/>
      <w:r w:rsidRPr="00084E6B">
        <w:rPr>
          <w:b/>
          <w:color w:val="44546A" w:themeColor="text2"/>
          <w:szCs w:val="28"/>
        </w:rPr>
        <w:t xml:space="preserve">3.1 </w:t>
      </w:r>
      <w:r w:rsidR="00BE170C" w:rsidRPr="00084E6B">
        <w:rPr>
          <w:b/>
          <w:color w:val="44546A" w:themeColor="text2"/>
          <w:szCs w:val="28"/>
        </w:rPr>
        <w:t>Allgemeingültige p</w:t>
      </w:r>
      <w:r w:rsidRPr="00084E6B">
        <w:rPr>
          <w:b/>
          <w:color w:val="44546A" w:themeColor="text2"/>
          <w:szCs w:val="28"/>
        </w:rPr>
        <w:t>räventive Maßnahmen zur Vermeidung von SARS-CoV-2-Infektionen</w:t>
      </w:r>
      <w:bookmarkEnd w:id="3"/>
      <w:r w:rsidRPr="00084E6B">
        <w:rPr>
          <w:color w:val="44546A" w:themeColor="text2"/>
          <w:szCs w:val="28"/>
        </w:rPr>
        <w:t xml:space="preserve"> </w:t>
      </w:r>
    </w:p>
    <w:p w14:paraId="1FA24917" w14:textId="3495FD06" w:rsidR="00DF6D29" w:rsidRDefault="00A17DAF" w:rsidP="00F21822">
      <w:pPr>
        <w:spacing w:line="240" w:lineRule="auto"/>
      </w:pPr>
      <w:r w:rsidRPr="00E11E95">
        <w:t>Als wichtigste präventive Maßnahme</w:t>
      </w:r>
      <w:r w:rsidR="00DD50EE">
        <w:t>n</w:t>
      </w:r>
      <w:r w:rsidRPr="00E11E95">
        <w:t xml:space="preserve"> gelten die Verminderung der Freisetzung von Tröpfchen aus dem Mund-Nasen-Rachenraum bei Husten, Niesen und lautem Sprechen (z. B. Schreien, Brüllen, Rufen) und die Vermeidung der direkten Aufnahme dieser Tröpfchen durch die exponierte Person über Mund-, Nasen- oder Augenschleimhäute. Eine geringere Bedeutung kommt nach</w:t>
      </w:r>
      <w:r w:rsidR="008B6220">
        <w:t xml:space="preserve"> gegenwärtigem Kenntnisstand der</w:t>
      </w:r>
      <w:r w:rsidRPr="00E11E95">
        <w:t xml:space="preserve"> Verhinderung einer indirekten Aufnahme in die Schleimhäute über kontaminierte Hände zu. </w:t>
      </w:r>
    </w:p>
    <w:p w14:paraId="2FDAC44F" w14:textId="77777777" w:rsidR="00A17DAF" w:rsidRPr="00F21822" w:rsidRDefault="00A17DAF" w:rsidP="00F21822">
      <w:pPr>
        <w:pStyle w:val="Default"/>
        <w:spacing w:line="360" w:lineRule="auto"/>
        <w:rPr>
          <w:rFonts w:ascii="Titillium Web SemiBold" w:hAnsi="Titillium Web SemiBold"/>
          <w:sz w:val="22"/>
          <w:szCs w:val="22"/>
          <w:u w:val="single"/>
        </w:rPr>
      </w:pPr>
      <w:r w:rsidRPr="00F21822">
        <w:rPr>
          <w:rFonts w:ascii="Titillium Web SemiBold" w:hAnsi="Titillium Web SemiBold"/>
          <w:sz w:val="22"/>
          <w:szCs w:val="22"/>
          <w:u w:val="single"/>
        </w:rPr>
        <w:t xml:space="preserve">Folgende Maßnahmen sind zu gewährleisten: </w:t>
      </w:r>
    </w:p>
    <w:p w14:paraId="76A9D314" w14:textId="08B87AE8" w:rsidR="00E11E95" w:rsidRPr="00F21822" w:rsidRDefault="00A17DAF" w:rsidP="00F21822">
      <w:pPr>
        <w:pStyle w:val="Default"/>
        <w:numPr>
          <w:ilvl w:val="0"/>
          <w:numId w:val="2"/>
        </w:numPr>
        <w:rPr>
          <w:rFonts w:ascii="Titillium Web" w:hAnsi="Titillium Web"/>
          <w:sz w:val="22"/>
          <w:szCs w:val="22"/>
        </w:rPr>
      </w:pPr>
      <w:r w:rsidRPr="00F21822">
        <w:rPr>
          <w:rFonts w:ascii="Titillium Web" w:hAnsi="Titillium Web"/>
          <w:sz w:val="22"/>
          <w:szCs w:val="22"/>
        </w:rPr>
        <w:t>Einhaltung eines Mindestabstandes von 1,5</w:t>
      </w:r>
      <w:r w:rsidR="00C57910" w:rsidRPr="00F21822">
        <w:rPr>
          <w:rFonts w:ascii="Titillium Web" w:hAnsi="Titillium Web"/>
          <w:sz w:val="22"/>
          <w:szCs w:val="22"/>
        </w:rPr>
        <w:t>0</w:t>
      </w:r>
      <w:r w:rsidRPr="00F21822">
        <w:rPr>
          <w:rFonts w:ascii="Titillium Web" w:hAnsi="Titillium Web"/>
          <w:sz w:val="22"/>
          <w:szCs w:val="22"/>
        </w:rPr>
        <w:t xml:space="preserve"> Metern, </w:t>
      </w:r>
    </w:p>
    <w:p w14:paraId="6C1391EF" w14:textId="77777777" w:rsidR="00E11E95" w:rsidRPr="00F21822" w:rsidRDefault="00A17DAF" w:rsidP="00F21822">
      <w:pPr>
        <w:pStyle w:val="Default"/>
        <w:numPr>
          <w:ilvl w:val="0"/>
          <w:numId w:val="2"/>
        </w:numPr>
        <w:rPr>
          <w:rFonts w:ascii="Titillium Web" w:hAnsi="Titillium Web"/>
          <w:sz w:val="22"/>
          <w:szCs w:val="22"/>
        </w:rPr>
      </w:pPr>
      <w:r w:rsidRPr="00F21822">
        <w:rPr>
          <w:rFonts w:ascii="Titillium Web" w:hAnsi="Titillium Web"/>
          <w:sz w:val="22"/>
          <w:szCs w:val="22"/>
        </w:rPr>
        <w:t xml:space="preserve">Husten- und Nies-Etikette sowie </w:t>
      </w:r>
    </w:p>
    <w:p w14:paraId="45D27EC7" w14:textId="69457C4E" w:rsidR="00DF6D29" w:rsidRPr="00F21822" w:rsidRDefault="00A17DAF" w:rsidP="00F21822">
      <w:pPr>
        <w:pStyle w:val="Default"/>
        <w:numPr>
          <w:ilvl w:val="0"/>
          <w:numId w:val="2"/>
        </w:numPr>
        <w:rPr>
          <w:rFonts w:ascii="Titillium Web" w:hAnsi="Titillium Web"/>
          <w:sz w:val="22"/>
          <w:szCs w:val="22"/>
        </w:rPr>
      </w:pPr>
      <w:r w:rsidRPr="00F21822">
        <w:rPr>
          <w:rFonts w:ascii="Titillium Web" w:hAnsi="Titillium Web"/>
          <w:sz w:val="22"/>
          <w:szCs w:val="22"/>
        </w:rPr>
        <w:t xml:space="preserve">Tragen eines </w:t>
      </w:r>
      <w:r w:rsidR="00687FEE" w:rsidRPr="00F21822">
        <w:rPr>
          <w:rFonts w:ascii="Titillium Web" w:hAnsi="Titillium Web"/>
          <w:sz w:val="22"/>
          <w:szCs w:val="22"/>
        </w:rPr>
        <w:t>Nasen-Mund-Schutzes</w:t>
      </w:r>
      <w:r w:rsidRPr="00F21822">
        <w:rPr>
          <w:rFonts w:ascii="Titillium Web" w:hAnsi="Titillium Web"/>
          <w:sz w:val="22"/>
          <w:szCs w:val="22"/>
        </w:rPr>
        <w:t xml:space="preserve"> in solchen Situationen, in denen eine sichere Abstandswahrung nicht </w:t>
      </w:r>
      <w:r w:rsidR="00E11E95" w:rsidRPr="00F21822">
        <w:rPr>
          <w:rFonts w:ascii="Titillium Web" w:hAnsi="Titillium Web"/>
          <w:sz w:val="22"/>
          <w:szCs w:val="22"/>
        </w:rPr>
        <w:t xml:space="preserve">gewährleistet bzw. </w:t>
      </w:r>
      <w:r w:rsidRPr="00F21822">
        <w:rPr>
          <w:rFonts w:ascii="Titillium Web" w:hAnsi="Titillium Web"/>
          <w:sz w:val="22"/>
          <w:szCs w:val="22"/>
        </w:rPr>
        <w:t xml:space="preserve">kontrolliert werden kann, um die respiratorische Übertragung von SARS-CoV-2 weitestgehend zu verhindern. </w:t>
      </w:r>
      <w:r w:rsidR="00DD50EE" w:rsidRPr="00F21822">
        <w:rPr>
          <w:rFonts w:ascii="Titillium Web" w:hAnsi="Titillium Web"/>
          <w:sz w:val="22"/>
          <w:szCs w:val="22"/>
        </w:rPr>
        <w:t xml:space="preserve">So gilt </w:t>
      </w:r>
      <w:r w:rsidR="00DF6D29" w:rsidRPr="00F21822">
        <w:rPr>
          <w:rFonts w:ascii="Titillium Web" w:hAnsi="Titillium Web"/>
          <w:sz w:val="22"/>
          <w:szCs w:val="22"/>
        </w:rPr>
        <w:t xml:space="preserve">für das gesamte freie </w:t>
      </w:r>
      <w:r w:rsidR="008B6220" w:rsidRPr="00F21822">
        <w:rPr>
          <w:rFonts w:ascii="Titillium Web" w:hAnsi="Titillium Web"/>
          <w:sz w:val="22"/>
          <w:szCs w:val="22"/>
        </w:rPr>
        <w:t>Gelände der Bildungseinrichtung</w:t>
      </w:r>
      <w:r w:rsidR="00DD50EE" w:rsidRPr="00F21822">
        <w:rPr>
          <w:rFonts w:ascii="Titillium Web" w:hAnsi="Titillium Web"/>
          <w:sz w:val="22"/>
          <w:szCs w:val="22"/>
        </w:rPr>
        <w:t>, in den gemeinschaftlichen Räu</w:t>
      </w:r>
      <w:r w:rsidR="008B6220" w:rsidRPr="00F21822">
        <w:rPr>
          <w:rFonts w:ascii="Titillium Web" w:hAnsi="Titillium Web"/>
          <w:sz w:val="22"/>
          <w:szCs w:val="22"/>
        </w:rPr>
        <w:t>men (Foyer, Flure, Aufenthaltsräume</w:t>
      </w:r>
      <w:r w:rsidR="00DD50EE" w:rsidRPr="00F21822">
        <w:rPr>
          <w:rFonts w:ascii="Titillium Web" w:hAnsi="Titillium Web"/>
          <w:sz w:val="22"/>
          <w:szCs w:val="22"/>
        </w:rPr>
        <w:t xml:space="preserve">, Sanitärräume) eine grundsätzliche </w:t>
      </w:r>
      <w:r w:rsidR="00687FEE" w:rsidRPr="00F21822">
        <w:rPr>
          <w:rFonts w:ascii="Titillium Web" w:hAnsi="Titillium Web"/>
          <w:sz w:val="22"/>
          <w:szCs w:val="22"/>
        </w:rPr>
        <w:t>Nasen</w:t>
      </w:r>
      <w:r w:rsidR="00DD50EE" w:rsidRPr="00F21822">
        <w:rPr>
          <w:rFonts w:ascii="Titillium Web" w:hAnsi="Titillium Web"/>
          <w:sz w:val="22"/>
          <w:szCs w:val="22"/>
        </w:rPr>
        <w:t>-</w:t>
      </w:r>
      <w:r w:rsidR="00687FEE" w:rsidRPr="00F21822">
        <w:rPr>
          <w:rFonts w:ascii="Titillium Web" w:hAnsi="Titillium Web"/>
          <w:sz w:val="22"/>
          <w:szCs w:val="22"/>
        </w:rPr>
        <w:t>Mund-</w:t>
      </w:r>
      <w:r w:rsidR="00DD50EE" w:rsidRPr="00F21822">
        <w:rPr>
          <w:rFonts w:ascii="Titillium Web" w:hAnsi="Titillium Web"/>
          <w:sz w:val="22"/>
          <w:szCs w:val="22"/>
        </w:rPr>
        <w:t xml:space="preserve">Schutz-Pflicht. Der </w:t>
      </w:r>
      <w:r w:rsidR="00687FEE" w:rsidRPr="00F21822">
        <w:rPr>
          <w:rFonts w:ascii="Titillium Web" w:hAnsi="Titillium Web"/>
          <w:sz w:val="22"/>
          <w:szCs w:val="22"/>
        </w:rPr>
        <w:t>Nasen-Mund</w:t>
      </w:r>
      <w:r w:rsidR="00DD50EE" w:rsidRPr="00F21822">
        <w:rPr>
          <w:rFonts w:ascii="Titillium Web" w:hAnsi="Titillium Web"/>
          <w:sz w:val="22"/>
          <w:szCs w:val="22"/>
        </w:rPr>
        <w:t xml:space="preserve">-Schutz ist </w:t>
      </w:r>
      <w:r w:rsidR="00DF6D29" w:rsidRPr="00F21822">
        <w:rPr>
          <w:rFonts w:ascii="Titillium Web" w:hAnsi="Titillium Web"/>
          <w:sz w:val="22"/>
          <w:szCs w:val="22"/>
        </w:rPr>
        <w:t>auch b</w:t>
      </w:r>
      <w:r w:rsidR="008B6220" w:rsidRPr="00F21822">
        <w:rPr>
          <w:rFonts w:ascii="Titillium Web" w:hAnsi="Titillium Web"/>
          <w:sz w:val="22"/>
          <w:szCs w:val="22"/>
        </w:rPr>
        <w:t>eim Gebäudewechsel und am E</w:t>
      </w:r>
      <w:r w:rsidR="00DF6D29" w:rsidRPr="00F21822">
        <w:rPr>
          <w:rFonts w:ascii="Titillium Web" w:hAnsi="Titillium Web"/>
          <w:sz w:val="22"/>
          <w:szCs w:val="22"/>
        </w:rPr>
        <w:t>mpfang stets zu tragen. Dieser kann in Werkstätten und Büroräumlichkeiten abgenommen werden, sofern der Mindestsicherheitsabstand</w:t>
      </w:r>
      <w:r w:rsidR="00905F12" w:rsidRPr="00F21822">
        <w:rPr>
          <w:rFonts w:ascii="Titillium Web" w:hAnsi="Titillium Web"/>
          <w:sz w:val="22"/>
          <w:szCs w:val="22"/>
        </w:rPr>
        <w:t xml:space="preserve"> von 1,50 Meter</w:t>
      </w:r>
      <w:r w:rsidR="00DF6D29" w:rsidRPr="00F21822">
        <w:rPr>
          <w:rFonts w:ascii="Titillium Web" w:hAnsi="Titillium Web"/>
          <w:sz w:val="22"/>
          <w:szCs w:val="22"/>
        </w:rPr>
        <w:t xml:space="preserve">n zu anderen sich in diesen Räumlichkeiten befindenden Personen gewährleistet werden kann. </w:t>
      </w:r>
      <w:r w:rsidR="00F21822">
        <w:rPr>
          <w:rFonts w:ascii="Titillium Web" w:hAnsi="Titillium Web"/>
          <w:sz w:val="22"/>
          <w:szCs w:val="22"/>
        </w:rPr>
        <w:br/>
      </w:r>
    </w:p>
    <w:p w14:paraId="0820AE27" w14:textId="7070102D" w:rsidR="00F7746C" w:rsidRPr="00F21822" w:rsidRDefault="00A17DAF" w:rsidP="00F21822">
      <w:pPr>
        <w:pStyle w:val="Default"/>
        <w:rPr>
          <w:rFonts w:ascii="Titillium Web" w:hAnsi="Titillium Web"/>
          <w:sz w:val="22"/>
          <w:szCs w:val="22"/>
        </w:rPr>
      </w:pPr>
      <w:r w:rsidRPr="00F21822">
        <w:rPr>
          <w:rFonts w:ascii="Titillium Web" w:hAnsi="Titillium Web"/>
          <w:sz w:val="22"/>
          <w:szCs w:val="22"/>
        </w:rPr>
        <w:t>Personen, die sich im selben Raum (z. B. Arbeitsplatz, Schulungsraum) wie ein bestätigter COVID-19-Fall aufhielten, jedoch keinen kumulativ mindestens 15-minütigen Gesichts- („face-</w:t>
      </w:r>
      <w:proofErr w:type="spellStart"/>
      <w:r w:rsidRPr="00F21822">
        <w:rPr>
          <w:rFonts w:ascii="Titillium Web" w:hAnsi="Titillium Web"/>
          <w:sz w:val="22"/>
          <w:szCs w:val="22"/>
        </w:rPr>
        <w:t>to</w:t>
      </w:r>
      <w:proofErr w:type="spellEnd"/>
      <w:r w:rsidRPr="00F21822">
        <w:rPr>
          <w:rFonts w:ascii="Titillium Web" w:hAnsi="Titillium Web"/>
          <w:sz w:val="22"/>
          <w:szCs w:val="22"/>
        </w:rPr>
        <w:t xml:space="preserve">-face“) Kontakt mit dem COVID-19-Fall hatten, werden seitens des Robert Koch-Instituts (RKI) als Personen mit niedrigem Infektionsrisiko kategorisiert, für die bei Bekanntwerden einer Infektion bei einem Ausscheider keine Quarantänemaßnahmen für erforderlich angesehen werden. </w:t>
      </w:r>
      <w:r w:rsidR="00F21822">
        <w:rPr>
          <w:rFonts w:ascii="Titillium Web" w:hAnsi="Titillium Web"/>
          <w:sz w:val="22"/>
          <w:szCs w:val="22"/>
        </w:rPr>
        <w:br/>
      </w:r>
    </w:p>
    <w:p w14:paraId="68C5B5A7" w14:textId="64B48281" w:rsidR="00E11E95" w:rsidRPr="00F21822" w:rsidRDefault="00F658DA" w:rsidP="00F21822">
      <w:pPr>
        <w:pStyle w:val="berschrift3"/>
        <w:spacing w:line="240" w:lineRule="auto"/>
        <w:rPr>
          <w:rFonts w:ascii="Titillium Web" w:hAnsi="Titillium Web"/>
          <w:color w:val="44546A" w:themeColor="text2"/>
          <w:sz w:val="22"/>
          <w:szCs w:val="22"/>
        </w:rPr>
      </w:pPr>
      <w:bookmarkStart w:id="4" w:name="_Toc39565424"/>
      <w:r w:rsidRPr="00F21822">
        <w:rPr>
          <w:rFonts w:ascii="Titillium Web" w:hAnsi="Titillium Web"/>
          <w:color w:val="44546A" w:themeColor="text2"/>
          <w:sz w:val="22"/>
          <w:szCs w:val="22"/>
        </w:rPr>
        <w:t xml:space="preserve">3.1.1 </w:t>
      </w:r>
      <w:r w:rsidR="00A17DAF" w:rsidRPr="00F21822">
        <w:rPr>
          <w:rFonts w:ascii="Titillium Web" w:hAnsi="Titillium Web"/>
          <w:color w:val="44546A" w:themeColor="text2"/>
          <w:sz w:val="22"/>
          <w:szCs w:val="22"/>
        </w:rPr>
        <w:t>Selbstkontrolle der Symptome</w:t>
      </w:r>
      <w:bookmarkEnd w:id="4"/>
      <w:r w:rsidR="00A17DAF" w:rsidRPr="00F21822">
        <w:rPr>
          <w:rFonts w:ascii="Titillium Web" w:hAnsi="Titillium Web"/>
          <w:color w:val="44546A" w:themeColor="text2"/>
          <w:sz w:val="22"/>
          <w:szCs w:val="22"/>
        </w:rPr>
        <w:t xml:space="preserve"> </w:t>
      </w:r>
    </w:p>
    <w:p w14:paraId="03D6BD4F" w14:textId="7A25F22E" w:rsidR="00EC53A8" w:rsidRPr="00F21822" w:rsidRDefault="008B6220" w:rsidP="00F21822">
      <w:pPr>
        <w:pStyle w:val="Default"/>
        <w:rPr>
          <w:rFonts w:ascii="Titillium Web" w:hAnsi="Titillium Web"/>
          <w:sz w:val="22"/>
          <w:szCs w:val="22"/>
        </w:rPr>
      </w:pPr>
      <w:r w:rsidRPr="00F21822">
        <w:rPr>
          <w:rFonts w:ascii="Titillium Web" w:hAnsi="Titillium Web"/>
          <w:sz w:val="22"/>
          <w:szCs w:val="22"/>
        </w:rPr>
        <w:t>Beschäftigte, Honorarkräfte</w:t>
      </w:r>
      <w:r w:rsidR="00F7746C" w:rsidRPr="00F21822">
        <w:rPr>
          <w:rFonts w:ascii="Titillium Web" w:hAnsi="Titillium Web"/>
          <w:sz w:val="22"/>
          <w:szCs w:val="22"/>
        </w:rPr>
        <w:t xml:space="preserve">, </w:t>
      </w:r>
      <w:r w:rsidRPr="00F21822">
        <w:rPr>
          <w:rFonts w:ascii="Titillium Web" w:hAnsi="Titillium Web"/>
          <w:sz w:val="22"/>
          <w:szCs w:val="22"/>
        </w:rPr>
        <w:t>Prüflinge und Lehrgang</w:t>
      </w:r>
      <w:r w:rsidR="00A17DAF" w:rsidRPr="00F21822">
        <w:rPr>
          <w:rFonts w:ascii="Titillium Web" w:hAnsi="Titillium Web"/>
          <w:sz w:val="22"/>
          <w:szCs w:val="22"/>
        </w:rPr>
        <w:t xml:space="preserve">steilnehmer*innen sollen </w:t>
      </w:r>
      <w:r w:rsidRPr="00F21822">
        <w:rPr>
          <w:rFonts w:ascii="Titillium Web" w:hAnsi="Titillium Web"/>
          <w:sz w:val="22"/>
          <w:szCs w:val="22"/>
        </w:rPr>
        <w:t xml:space="preserve">sich </w:t>
      </w:r>
      <w:r w:rsidR="00A17DAF" w:rsidRPr="00F21822">
        <w:rPr>
          <w:rFonts w:ascii="Titillium Web" w:hAnsi="Titillium Web"/>
          <w:sz w:val="22"/>
          <w:szCs w:val="22"/>
        </w:rPr>
        <w:t xml:space="preserve">nur symptomfrei </w:t>
      </w:r>
      <w:r w:rsidR="00DD50EE" w:rsidRPr="00F21822">
        <w:rPr>
          <w:rFonts w:ascii="Titillium Web" w:hAnsi="Titillium Web"/>
          <w:sz w:val="22"/>
          <w:szCs w:val="22"/>
        </w:rPr>
        <w:t xml:space="preserve">auf dem Gelände und </w:t>
      </w:r>
      <w:r w:rsidRPr="00F21822">
        <w:rPr>
          <w:rFonts w:ascii="Titillium Web" w:hAnsi="Titillium Web"/>
          <w:sz w:val="22"/>
          <w:szCs w:val="22"/>
        </w:rPr>
        <w:t xml:space="preserve">in den </w:t>
      </w:r>
      <w:r w:rsidR="00DD50EE" w:rsidRPr="00F21822">
        <w:rPr>
          <w:rFonts w:ascii="Titillium Web" w:hAnsi="Titillium Web"/>
          <w:sz w:val="22"/>
          <w:szCs w:val="22"/>
        </w:rPr>
        <w:t>Räumlichkeiten</w:t>
      </w:r>
      <w:r w:rsidR="00F7746C" w:rsidRPr="00F21822">
        <w:rPr>
          <w:rFonts w:ascii="Titillium Web" w:hAnsi="Titillium Web"/>
          <w:sz w:val="22"/>
          <w:szCs w:val="22"/>
        </w:rPr>
        <w:t xml:space="preserve"> der </w:t>
      </w:r>
      <w:r w:rsidRPr="00F21822">
        <w:rPr>
          <w:rFonts w:ascii="Titillium Web" w:hAnsi="Titillium Web"/>
          <w:sz w:val="22"/>
          <w:szCs w:val="22"/>
        </w:rPr>
        <w:t xml:space="preserve">Bildungsstätte </w:t>
      </w:r>
      <w:r w:rsidR="00F7746C" w:rsidRPr="00F21822">
        <w:rPr>
          <w:rFonts w:ascii="Titillium Web" w:hAnsi="Titillium Web"/>
          <w:sz w:val="22"/>
          <w:szCs w:val="22"/>
        </w:rPr>
        <w:t>aufhalten. Sie sind für die Selbstkontrolle folgender Symptome verantwortlich:</w:t>
      </w:r>
      <w:r w:rsidR="00F21822">
        <w:rPr>
          <w:rFonts w:ascii="Titillium Web" w:hAnsi="Titillium Web"/>
          <w:sz w:val="22"/>
          <w:szCs w:val="22"/>
        </w:rPr>
        <w:br/>
      </w:r>
    </w:p>
    <w:p w14:paraId="602939EB" w14:textId="77777777" w:rsidR="00EC53A8" w:rsidRPr="00F21822" w:rsidRDefault="00A17DAF" w:rsidP="00F21822">
      <w:pPr>
        <w:pStyle w:val="Default"/>
        <w:numPr>
          <w:ilvl w:val="0"/>
          <w:numId w:val="2"/>
        </w:numPr>
        <w:rPr>
          <w:rFonts w:ascii="Titillium Web" w:hAnsi="Titillium Web"/>
          <w:sz w:val="22"/>
          <w:szCs w:val="22"/>
        </w:rPr>
      </w:pPr>
      <w:r w:rsidRPr="00F21822">
        <w:rPr>
          <w:rFonts w:ascii="Titillium Web" w:hAnsi="Titillium Web"/>
          <w:sz w:val="22"/>
          <w:szCs w:val="22"/>
        </w:rPr>
        <w:t xml:space="preserve">Rachenschmerzen, Husten, Fieber, Schnupfen, sonstige Symptome einer Atemwegserkrankung, allgemeine Abgeschlagenheit, Muskelschmerzen, Kopfschmerzen, Bauchschmerzen, Übelkeit, Erbrechen, Durchfall. </w:t>
      </w:r>
    </w:p>
    <w:p w14:paraId="289FCB62" w14:textId="6E325412" w:rsidR="00EC53A8" w:rsidRPr="00F21822" w:rsidRDefault="00DD50EE" w:rsidP="00F21822">
      <w:pPr>
        <w:pStyle w:val="Default"/>
        <w:numPr>
          <w:ilvl w:val="0"/>
          <w:numId w:val="2"/>
        </w:numPr>
        <w:rPr>
          <w:rFonts w:ascii="Titillium Web" w:hAnsi="Titillium Web"/>
          <w:sz w:val="22"/>
          <w:szCs w:val="22"/>
        </w:rPr>
      </w:pPr>
      <w:r w:rsidRPr="00F21822">
        <w:rPr>
          <w:rFonts w:ascii="Titillium Web" w:hAnsi="Titillium Web"/>
          <w:sz w:val="22"/>
          <w:szCs w:val="22"/>
        </w:rPr>
        <w:lastRenderedPageBreak/>
        <w:t>Sollten diese</w:t>
      </w:r>
      <w:r w:rsidR="00A17DAF" w:rsidRPr="00F21822">
        <w:rPr>
          <w:rFonts w:ascii="Titillium Web" w:hAnsi="Titillium Web"/>
          <w:sz w:val="22"/>
          <w:szCs w:val="22"/>
        </w:rPr>
        <w:t xml:space="preserve"> Symptome</w:t>
      </w:r>
      <w:r w:rsidR="00BE4CA5" w:rsidRPr="00F21822">
        <w:rPr>
          <w:rFonts w:ascii="Titillium Web" w:hAnsi="Titillium Web"/>
          <w:sz w:val="22"/>
          <w:szCs w:val="22"/>
        </w:rPr>
        <w:t xml:space="preserve"> vorhanden sein, </w:t>
      </w:r>
      <w:r w:rsidR="00A17DAF" w:rsidRPr="00F21822">
        <w:rPr>
          <w:rFonts w:ascii="Titillium Web" w:hAnsi="Titillium Web"/>
          <w:sz w:val="22"/>
          <w:szCs w:val="22"/>
        </w:rPr>
        <w:t>s</w:t>
      </w:r>
      <w:r w:rsidRPr="00F21822">
        <w:rPr>
          <w:rFonts w:ascii="Titillium Web" w:hAnsi="Titillium Web"/>
          <w:sz w:val="22"/>
          <w:szCs w:val="22"/>
        </w:rPr>
        <w:t xml:space="preserve">ind diese </w:t>
      </w:r>
      <w:r w:rsidR="00A17DAF" w:rsidRPr="00F21822">
        <w:rPr>
          <w:rFonts w:ascii="Titillium Web" w:hAnsi="Titillium Web"/>
          <w:sz w:val="22"/>
          <w:szCs w:val="22"/>
        </w:rPr>
        <w:t xml:space="preserve">durch eine medizinische Untersuchung auf Covid-19 </w:t>
      </w:r>
      <w:r w:rsidRPr="00F21822">
        <w:rPr>
          <w:rFonts w:ascii="Titillium Web" w:hAnsi="Titillium Web"/>
          <w:sz w:val="22"/>
          <w:szCs w:val="22"/>
        </w:rPr>
        <w:t>abzuklären</w:t>
      </w:r>
      <w:r w:rsidR="00A17DAF" w:rsidRPr="00F21822">
        <w:rPr>
          <w:rFonts w:ascii="Titillium Web" w:hAnsi="Titillium Web"/>
          <w:sz w:val="22"/>
          <w:szCs w:val="22"/>
        </w:rPr>
        <w:t>. Sie führen nach den Empfehlungen des RKI bei Diagnosesicherung zur Verordnung einer Quarantäne und nach Rücksprache mit dem Gesundheitsamt gg</w:t>
      </w:r>
      <w:r w:rsidR="00EC53A8" w:rsidRPr="00F21822">
        <w:rPr>
          <w:rFonts w:ascii="Titillium Web" w:hAnsi="Titillium Web"/>
          <w:sz w:val="22"/>
          <w:szCs w:val="22"/>
        </w:rPr>
        <w:t>fls. zur Kontaktnachverfolgung.</w:t>
      </w:r>
      <w:r w:rsidR="00F21822">
        <w:rPr>
          <w:rFonts w:ascii="Titillium Web" w:hAnsi="Titillium Web"/>
          <w:sz w:val="22"/>
          <w:szCs w:val="22"/>
        </w:rPr>
        <w:br/>
      </w:r>
    </w:p>
    <w:p w14:paraId="3E39E8A5" w14:textId="50BFC745" w:rsidR="00A17DAF" w:rsidRPr="00F21822" w:rsidRDefault="00A17DAF" w:rsidP="00F21822">
      <w:pPr>
        <w:pStyle w:val="Default"/>
        <w:rPr>
          <w:rFonts w:ascii="Titillium Web" w:hAnsi="Titillium Web"/>
          <w:sz w:val="22"/>
          <w:szCs w:val="22"/>
        </w:rPr>
      </w:pPr>
      <w:r w:rsidRPr="00F21822">
        <w:rPr>
          <w:rFonts w:ascii="Titillium Web" w:hAnsi="Titillium Web"/>
          <w:sz w:val="22"/>
          <w:szCs w:val="22"/>
        </w:rPr>
        <w:t>In geschlossenen Räumen führt regelmäßiges Lüften zu einer Verringerung des Übertragungsrisikos. Der Kontakt zu symptomatischen Personen sollte g</w:t>
      </w:r>
      <w:r w:rsidR="00EB204B" w:rsidRPr="00F21822">
        <w:rPr>
          <w:rFonts w:ascii="Titillium Web" w:hAnsi="Titillium Web"/>
          <w:sz w:val="22"/>
          <w:szCs w:val="22"/>
        </w:rPr>
        <w:t xml:space="preserve">rundsätzlich vermieden werden. </w:t>
      </w:r>
      <w:r w:rsidR="00F21822">
        <w:rPr>
          <w:rFonts w:ascii="Titillium Web" w:hAnsi="Titillium Web"/>
          <w:sz w:val="22"/>
          <w:szCs w:val="22"/>
        </w:rPr>
        <w:br/>
      </w:r>
    </w:p>
    <w:p w14:paraId="4E9EE73E" w14:textId="4594125C" w:rsidR="00A17DAF" w:rsidRPr="001E2205" w:rsidRDefault="00F658DA" w:rsidP="001E2205">
      <w:pPr>
        <w:pStyle w:val="berschrift3"/>
        <w:spacing w:line="240" w:lineRule="auto"/>
        <w:rPr>
          <w:rFonts w:ascii="Titillium Web" w:hAnsi="Titillium Web"/>
          <w:color w:val="44546A" w:themeColor="text2"/>
          <w:sz w:val="22"/>
          <w:szCs w:val="22"/>
        </w:rPr>
      </w:pPr>
      <w:bookmarkStart w:id="5" w:name="_Toc39565425"/>
      <w:r w:rsidRPr="001E2205">
        <w:rPr>
          <w:rFonts w:ascii="Titillium Web" w:hAnsi="Titillium Web"/>
          <w:color w:val="44546A" w:themeColor="text2"/>
          <w:sz w:val="22"/>
          <w:szCs w:val="22"/>
        </w:rPr>
        <w:t xml:space="preserve">3.1.2 </w:t>
      </w:r>
      <w:r w:rsidR="00A17DAF" w:rsidRPr="001E2205">
        <w:rPr>
          <w:rFonts w:ascii="Titillium Web" w:hAnsi="Titillium Web"/>
          <w:color w:val="44546A" w:themeColor="text2"/>
          <w:sz w:val="22"/>
          <w:szCs w:val="22"/>
        </w:rPr>
        <w:t>Kommunikation</w:t>
      </w:r>
      <w:bookmarkEnd w:id="5"/>
      <w:r w:rsidR="00A17DAF" w:rsidRPr="001E2205">
        <w:rPr>
          <w:rFonts w:ascii="Titillium Web" w:hAnsi="Titillium Web"/>
          <w:color w:val="44546A" w:themeColor="text2"/>
          <w:sz w:val="22"/>
          <w:szCs w:val="22"/>
        </w:rPr>
        <w:t xml:space="preserve"> </w:t>
      </w:r>
    </w:p>
    <w:p w14:paraId="231F0E2E" w14:textId="523BBB37" w:rsidR="00F658DA" w:rsidRDefault="00F7746C" w:rsidP="00F21822">
      <w:r>
        <w:t xml:space="preserve">Beschäftigte, </w:t>
      </w:r>
      <w:r w:rsidR="008B6220">
        <w:t>Honorarkräfte</w:t>
      </w:r>
      <w:r>
        <w:t xml:space="preserve">, </w:t>
      </w:r>
      <w:r w:rsidR="008B6220">
        <w:t>Prüflinge und Lehrgang</w:t>
      </w:r>
      <w:r w:rsidRPr="00EC53A8">
        <w:t xml:space="preserve">steilnehmer*innen </w:t>
      </w:r>
      <w:r>
        <w:t xml:space="preserve">sind über </w:t>
      </w:r>
      <w:r w:rsidR="00A17DAF" w:rsidRPr="00EC53A8">
        <w:t xml:space="preserve">die wichtigsten Prinzipien des Hygiene-Verhaltens </w:t>
      </w:r>
      <w:r>
        <w:t>zu unterrichten.</w:t>
      </w:r>
      <w:r w:rsidR="00A17DAF" w:rsidRPr="00EC53A8">
        <w:t xml:space="preserve"> Hierzu gehören insbesondere die Vermittlung des Sinns der Abstandswahrung, der Händehygiene, der Husten- und Nies-Etikette sowie der eigenen Kontrolle auf die </w:t>
      </w:r>
      <w:r w:rsidR="00C57910">
        <w:t>o. g</w:t>
      </w:r>
      <w:r w:rsidR="00EC53A8">
        <w:t xml:space="preserve">. Symptome. </w:t>
      </w:r>
      <w:r w:rsidR="00A17DAF" w:rsidRPr="00EC53A8">
        <w:t>Auf Plakaten und Aushängen werden die</w:t>
      </w:r>
      <w:r>
        <w:t>se</w:t>
      </w:r>
      <w:r w:rsidR="00A17DAF" w:rsidRPr="00EC53A8">
        <w:t xml:space="preserve"> Regeln verdeutlicht. </w:t>
      </w:r>
    </w:p>
    <w:p w14:paraId="796FB587" w14:textId="62DDC3B2" w:rsidR="00F658DA" w:rsidRPr="001E2205" w:rsidRDefault="00F658DA" w:rsidP="001E2205">
      <w:pPr>
        <w:pStyle w:val="berschrift3"/>
        <w:spacing w:line="240" w:lineRule="auto"/>
        <w:rPr>
          <w:rFonts w:ascii="Titillium Web" w:hAnsi="Titillium Web"/>
          <w:color w:val="44546A" w:themeColor="text2"/>
          <w:sz w:val="22"/>
          <w:szCs w:val="22"/>
        </w:rPr>
      </w:pPr>
      <w:bookmarkStart w:id="6" w:name="_Toc39565426"/>
      <w:r w:rsidRPr="001E2205">
        <w:rPr>
          <w:rFonts w:ascii="Titillium Web" w:hAnsi="Titillium Web"/>
          <w:color w:val="44546A" w:themeColor="text2"/>
          <w:sz w:val="22"/>
          <w:szCs w:val="22"/>
        </w:rPr>
        <w:t>3.1.3 Händewasch- und Händedesinfektionsmöglichkeiten</w:t>
      </w:r>
      <w:bookmarkEnd w:id="6"/>
      <w:r w:rsidRPr="001E2205">
        <w:rPr>
          <w:rFonts w:ascii="Titillium Web" w:hAnsi="Titillium Web"/>
          <w:color w:val="44546A" w:themeColor="text2"/>
          <w:sz w:val="22"/>
          <w:szCs w:val="22"/>
        </w:rPr>
        <w:t xml:space="preserve"> </w:t>
      </w:r>
    </w:p>
    <w:p w14:paraId="3EE249D9" w14:textId="604A8579" w:rsidR="00F658DA" w:rsidRPr="007937C2" w:rsidRDefault="00F658DA" w:rsidP="00F21822">
      <w:r w:rsidRPr="00D371C1">
        <w:t>Es ist für ausreichende Hände-Waschmöglichkeiten zu sorgen. Die Sanitäranlagen müssen mit ausreichend Seifen- und Desinfektionsmittelspendern ausgestattet sein. Sie müssen unter dem Kriterium der Abstandswahrung gut erreichbar sein. Der Zugang zur Händedesinfektion sollte vor Eintritt in den Prüfungs- bzw. Schulungsraum ermöglicht werden. Auf das Händeschütteln ist zu verzichten. Die Hände sollten regelmäßig und gründlic</w:t>
      </w:r>
      <w:r>
        <w:t>h mit Wasser und Seife über 20 bis</w:t>
      </w:r>
      <w:r w:rsidRPr="00D371C1">
        <w:t xml:space="preserve"> 30 Sekunden gewaschen werden, insbesondere nach dem Naseputzen, Niesen oder Husten. Hautverträgliche Händedesinfektionsmittel auf Alkoholbasis können bei nicht sichtbarer Verschmutzung alternativ benutzt werden. </w:t>
      </w:r>
    </w:p>
    <w:p w14:paraId="0A37D66A" w14:textId="0B803F6B" w:rsidR="00F658DA" w:rsidRPr="001E2205" w:rsidRDefault="00F658DA" w:rsidP="001E2205">
      <w:pPr>
        <w:pStyle w:val="berschrift3"/>
        <w:spacing w:line="240" w:lineRule="auto"/>
        <w:rPr>
          <w:rFonts w:ascii="Titillium Web" w:hAnsi="Titillium Web"/>
          <w:color w:val="44546A" w:themeColor="text2"/>
          <w:sz w:val="22"/>
          <w:szCs w:val="22"/>
        </w:rPr>
      </w:pPr>
      <w:bookmarkStart w:id="7" w:name="_Toc39565427"/>
      <w:r w:rsidRPr="001E2205">
        <w:rPr>
          <w:rFonts w:ascii="Titillium Web" w:hAnsi="Titillium Web"/>
          <w:color w:val="44546A" w:themeColor="text2"/>
          <w:sz w:val="22"/>
          <w:szCs w:val="22"/>
        </w:rPr>
        <w:t>3.1.4 Mittel für die Händehygiene und für Reinigung und Flächendesinfektion</w:t>
      </w:r>
      <w:bookmarkEnd w:id="7"/>
      <w:r w:rsidRPr="001E2205">
        <w:rPr>
          <w:rFonts w:ascii="Titillium Web" w:hAnsi="Titillium Web"/>
          <w:color w:val="44546A" w:themeColor="text2"/>
          <w:sz w:val="22"/>
          <w:szCs w:val="22"/>
        </w:rPr>
        <w:t xml:space="preserve"> </w:t>
      </w:r>
    </w:p>
    <w:p w14:paraId="22239A12" w14:textId="02027C6F" w:rsidR="00EC53A8" w:rsidRPr="00EC53A8" w:rsidRDefault="00F658DA" w:rsidP="00F21822">
      <w:r w:rsidRPr="00D371C1">
        <w:t xml:space="preserve">Es sollten nur beim Verbund für Angewandte Hygiene (VAH) gelistete Desinfektionsmittel mit </w:t>
      </w:r>
      <w:r w:rsidR="00B36987">
        <w:t xml:space="preserve">dem Wirkspektrum </w:t>
      </w:r>
      <w:r w:rsidR="00B36987" w:rsidRPr="0085113C">
        <w:rPr>
          <w:i/>
        </w:rPr>
        <w:t>begrenzt</w:t>
      </w:r>
      <w:r w:rsidR="0085113C" w:rsidRPr="0085113C">
        <w:rPr>
          <w:i/>
        </w:rPr>
        <w:t xml:space="preserve"> </w:t>
      </w:r>
      <w:proofErr w:type="spellStart"/>
      <w:r w:rsidR="0085113C" w:rsidRPr="0085113C">
        <w:rPr>
          <w:i/>
        </w:rPr>
        <w:t>v</w:t>
      </w:r>
      <w:r w:rsidRPr="0085113C">
        <w:rPr>
          <w:i/>
        </w:rPr>
        <w:t>iruzid</w:t>
      </w:r>
      <w:proofErr w:type="spellEnd"/>
      <w:r w:rsidRPr="00D371C1">
        <w:t xml:space="preserve"> für alle Handkontaktflächen verwendet werden. </w:t>
      </w:r>
    </w:p>
    <w:p w14:paraId="4ADA79CF" w14:textId="7A3B467E" w:rsidR="00A17DAF" w:rsidRPr="00084E6B" w:rsidRDefault="00F658DA" w:rsidP="00F658DA">
      <w:pPr>
        <w:pStyle w:val="berschrift2"/>
        <w:spacing w:line="360" w:lineRule="auto"/>
        <w:rPr>
          <w:b/>
          <w:color w:val="44546A" w:themeColor="text2"/>
        </w:rPr>
      </w:pPr>
      <w:bookmarkStart w:id="8" w:name="_Toc39565428"/>
      <w:r w:rsidRPr="00084E6B">
        <w:rPr>
          <w:b/>
          <w:color w:val="44546A" w:themeColor="text2"/>
        </w:rPr>
        <w:t>3.2</w:t>
      </w:r>
      <w:r w:rsidR="00A17DAF" w:rsidRPr="00084E6B">
        <w:rPr>
          <w:b/>
          <w:color w:val="44546A" w:themeColor="text2"/>
        </w:rPr>
        <w:t xml:space="preserve"> Kriterien für die Durchführung von Prüfungen und Lehrgängen </w:t>
      </w:r>
      <w:r w:rsidR="00F7746C" w:rsidRPr="00084E6B">
        <w:rPr>
          <w:b/>
          <w:color w:val="44546A" w:themeColor="text2"/>
        </w:rPr>
        <w:t>im Bildungsbetrieb</w:t>
      </w:r>
      <w:bookmarkEnd w:id="8"/>
    </w:p>
    <w:p w14:paraId="3A7FC8CD" w14:textId="439152EB" w:rsidR="00A17DAF" w:rsidRPr="00EC53A8" w:rsidRDefault="00A17DAF" w:rsidP="00F21822">
      <w:r w:rsidRPr="00EC53A8">
        <w:t>Für den Lehrgangsbetrieb und den größten Teil der Abschlussprüfungen der Ausbildungsberufe kann – entsprechend dem heutigen epidemiologischen Kenntnisstand –</w:t>
      </w:r>
      <w:r w:rsidR="007F0652">
        <w:t xml:space="preserve"> </w:t>
      </w:r>
      <w:r w:rsidRPr="00EC53A8">
        <w:t xml:space="preserve">hinsichtlich der Zusammensetzung der Teilnehmer*innen davon ausgegangen werden, dass es sich zu einem weit überwiegenden Teil um eine Personengruppe mit dem geringsten Risiko für schwere Infektionsverläufe handelt, unabhängig von einer tatsächlich erfolgten Infektion. </w:t>
      </w:r>
    </w:p>
    <w:p w14:paraId="6BF15F20" w14:textId="2BB3485D" w:rsidR="007F0652" w:rsidRPr="007937C2" w:rsidRDefault="00A17DAF" w:rsidP="00F21822">
      <w:r w:rsidRPr="00EC53A8">
        <w:t xml:space="preserve">Ausnahmen sind Prüflinge mit </w:t>
      </w:r>
      <w:r w:rsidR="007F0652" w:rsidRPr="00EC53A8">
        <w:t>zugrundeliegenden</w:t>
      </w:r>
      <w:r w:rsidRPr="00EC53A8">
        <w:t xml:space="preserve"> Begleitkrankhe</w:t>
      </w:r>
      <w:r w:rsidR="007F0652">
        <w:t>iten oder Zuständen einer Immun</w:t>
      </w:r>
      <w:r w:rsidRPr="00EC53A8">
        <w:t xml:space="preserve">suppression. Für die Prüfer*innen und sonstigen Aufsichtspersonen gelten die allgemeinen Kriterien der Vulnerabilität in Zusammenhang mit hoher Relevanz eines steigenden Lebensalters. </w:t>
      </w:r>
    </w:p>
    <w:p w14:paraId="25DB3162" w14:textId="65BEA58C" w:rsidR="00A17DAF" w:rsidRPr="001E2205" w:rsidRDefault="00F658DA" w:rsidP="001E2205">
      <w:pPr>
        <w:pStyle w:val="berschrift3"/>
        <w:spacing w:line="240" w:lineRule="auto"/>
        <w:rPr>
          <w:rFonts w:ascii="Titillium Web" w:hAnsi="Titillium Web"/>
          <w:color w:val="44546A" w:themeColor="text2"/>
          <w:sz w:val="22"/>
          <w:szCs w:val="22"/>
        </w:rPr>
      </w:pPr>
      <w:bookmarkStart w:id="9" w:name="_Toc39565429"/>
      <w:r w:rsidRPr="001E2205">
        <w:rPr>
          <w:rFonts w:ascii="Titillium Web" w:hAnsi="Titillium Web"/>
          <w:color w:val="44546A" w:themeColor="text2"/>
          <w:sz w:val="22"/>
          <w:szCs w:val="22"/>
        </w:rPr>
        <w:lastRenderedPageBreak/>
        <w:t>3.2</w:t>
      </w:r>
      <w:r w:rsidR="00E44F97" w:rsidRPr="001E2205">
        <w:rPr>
          <w:rFonts w:ascii="Titillium Web" w:hAnsi="Titillium Web"/>
          <w:color w:val="44546A" w:themeColor="text2"/>
          <w:sz w:val="22"/>
          <w:szCs w:val="22"/>
        </w:rPr>
        <w:t xml:space="preserve">.1 </w:t>
      </w:r>
      <w:r w:rsidR="00A17DAF" w:rsidRPr="001E2205">
        <w:rPr>
          <w:rFonts w:ascii="Titillium Web" w:hAnsi="Titillium Web"/>
          <w:color w:val="44546A" w:themeColor="text2"/>
          <w:sz w:val="22"/>
          <w:szCs w:val="22"/>
        </w:rPr>
        <w:t>Zahl und Zusammensetzung der Teilnehmer*innen</w:t>
      </w:r>
      <w:bookmarkEnd w:id="9"/>
      <w:r w:rsidR="00A17DAF" w:rsidRPr="001E2205">
        <w:rPr>
          <w:rFonts w:ascii="Titillium Web" w:hAnsi="Titillium Web"/>
          <w:color w:val="44546A" w:themeColor="text2"/>
          <w:sz w:val="22"/>
          <w:szCs w:val="22"/>
        </w:rPr>
        <w:t xml:space="preserve"> </w:t>
      </w:r>
    </w:p>
    <w:p w14:paraId="2251260A" w14:textId="7D4CD62A" w:rsidR="007F0652" w:rsidRPr="007F0652" w:rsidRDefault="00A17DAF" w:rsidP="00F21822">
      <w:r w:rsidRPr="007F0652">
        <w:t>Die Teilnehmer*innenzahl ist zu begrenzen in Abhängigkeit von den zur Verfügung stehenden Räumlichkeiten und der Zahl der benötigten Aufsichtspersonen bzw. des Lehrpersonals. Es muss zwischen den Prüflingen und Prüfer*innen bzw. Lehrpersonal und Lehrgangsteilnehmer*innen sowie den sonstigen Personen des Aufsichtspersonals ein Mindestabstand von jeweils 1,5</w:t>
      </w:r>
      <w:r w:rsidR="00C57910">
        <w:t>0</w:t>
      </w:r>
      <w:r w:rsidRPr="007F0652">
        <w:t xml:space="preserve"> Metern eingehalten werden können. Dabei wird bei der Raumgröße dar</w:t>
      </w:r>
      <w:r w:rsidR="00C57910">
        <w:t>auf geachtet, dass je anwesende</w:t>
      </w:r>
      <w:r w:rsidR="0093089E">
        <w:t xml:space="preserve"> Person 5</w:t>
      </w:r>
      <w:r w:rsidRPr="007F0652">
        <w:t xml:space="preserve"> qm</w:t>
      </w:r>
      <w:r w:rsidR="00BD09A7">
        <w:t>²</w:t>
      </w:r>
      <w:r w:rsidRPr="007F0652">
        <w:t xml:space="preserve"> zur Verfügung stehen. </w:t>
      </w:r>
    </w:p>
    <w:p w14:paraId="1E2D19D6" w14:textId="36B053D7" w:rsidR="00A17DAF" w:rsidRPr="001E2205" w:rsidRDefault="00F658DA" w:rsidP="001E2205">
      <w:pPr>
        <w:pStyle w:val="berschrift3"/>
        <w:spacing w:line="240" w:lineRule="auto"/>
        <w:rPr>
          <w:rFonts w:ascii="Titillium Web" w:hAnsi="Titillium Web"/>
          <w:color w:val="44546A" w:themeColor="text2"/>
          <w:sz w:val="22"/>
          <w:szCs w:val="22"/>
        </w:rPr>
      </w:pPr>
      <w:bookmarkStart w:id="10" w:name="_Toc39565430"/>
      <w:r w:rsidRPr="001E2205">
        <w:rPr>
          <w:rFonts w:ascii="Titillium Web" w:hAnsi="Titillium Web"/>
          <w:color w:val="44546A" w:themeColor="text2"/>
          <w:sz w:val="22"/>
          <w:szCs w:val="22"/>
        </w:rPr>
        <w:t>3.2</w:t>
      </w:r>
      <w:r w:rsidR="00E44F97" w:rsidRPr="001E2205">
        <w:rPr>
          <w:rFonts w:ascii="Titillium Web" w:hAnsi="Titillium Web"/>
          <w:color w:val="44546A" w:themeColor="text2"/>
          <w:sz w:val="22"/>
          <w:szCs w:val="22"/>
        </w:rPr>
        <w:t xml:space="preserve">.2 </w:t>
      </w:r>
      <w:r w:rsidR="00A17DAF" w:rsidRPr="001E2205">
        <w:rPr>
          <w:rFonts w:ascii="Titillium Web" w:hAnsi="Titillium Web"/>
          <w:color w:val="44546A" w:themeColor="text2"/>
          <w:sz w:val="22"/>
          <w:szCs w:val="22"/>
        </w:rPr>
        <w:t>Teilnehmer*innen mit Vorerkrankungen</w:t>
      </w:r>
      <w:bookmarkEnd w:id="10"/>
      <w:r w:rsidR="00A17DAF" w:rsidRPr="001E2205">
        <w:rPr>
          <w:rFonts w:ascii="Titillium Web" w:hAnsi="Titillium Web"/>
          <w:color w:val="44546A" w:themeColor="text2"/>
          <w:sz w:val="22"/>
          <w:szCs w:val="22"/>
        </w:rPr>
        <w:t xml:space="preserve"> </w:t>
      </w:r>
    </w:p>
    <w:p w14:paraId="47A497C7" w14:textId="615EEC6D" w:rsidR="007F0652" w:rsidRPr="007F0652" w:rsidRDefault="00A17DAF" w:rsidP="00F21822">
      <w:r w:rsidRPr="007F0652">
        <w:t>Teilnehmer*innen mit bestimmten Vorerkrankungen des Herz-Kreislauf-Systems (z. B. koronare Herzerkrankung und Bluthochdruck) oder der Lunge (z. B. COPD), Patienten mi</w:t>
      </w:r>
      <w:r w:rsidR="00C57910">
        <w:t>t chronischen Lebererkrankungen</w:t>
      </w:r>
      <w:r w:rsidRPr="007F0652">
        <w:t xml:space="preserve">, mit Diabetes mellitus (Zuckerkrankheit), mit einer Krebserkrankung oder Patienten mit geschwächtem Immunsystem (z. B. aufgrund einer Erkrankung, die mit einer Immunschwäche einhergeht oder durch die regelmäßige Einnahme von Medikamenten, die die Immunabwehr beeinflussen und herabsetzen können, wie z.B. Cortison) sollten Rücksprache mit ihrem behandelnden Arzt nehmen. Die Entscheidung zur Teilnahme an einem Lehrgang oder an einer Prüfung sollte durch die betroffenen Personen entsprechend der jeweiligen ärztlichen Empfehlung getroffen werden. </w:t>
      </w:r>
    </w:p>
    <w:p w14:paraId="105F8410" w14:textId="56419B54" w:rsidR="00A17DAF" w:rsidRPr="001E2205" w:rsidRDefault="00F658DA" w:rsidP="001E2205">
      <w:pPr>
        <w:pStyle w:val="berschrift3"/>
        <w:spacing w:line="240" w:lineRule="auto"/>
        <w:rPr>
          <w:rFonts w:ascii="Titillium Web" w:hAnsi="Titillium Web"/>
          <w:color w:val="44546A" w:themeColor="text2"/>
          <w:sz w:val="22"/>
          <w:szCs w:val="22"/>
        </w:rPr>
      </w:pPr>
      <w:bookmarkStart w:id="11" w:name="_Toc39565431"/>
      <w:r w:rsidRPr="001E2205">
        <w:rPr>
          <w:rFonts w:ascii="Titillium Web" w:hAnsi="Titillium Web"/>
          <w:color w:val="44546A" w:themeColor="text2"/>
          <w:sz w:val="22"/>
          <w:szCs w:val="22"/>
        </w:rPr>
        <w:t>3.2</w:t>
      </w:r>
      <w:r w:rsidR="00E44F97" w:rsidRPr="001E2205">
        <w:rPr>
          <w:rFonts w:ascii="Titillium Web" w:hAnsi="Titillium Web"/>
          <w:color w:val="44546A" w:themeColor="text2"/>
          <w:sz w:val="22"/>
          <w:szCs w:val="22"/>
        </w:rPr>
        <w:t xml:space="preserve">.3 </w:t>
      </w:r>
      <w:r w:rsidR="00A17DAF" w:rsidRPr="001E2205">
        <w:rPr>
          <w:rFonts w:ascii="Titillium Web" w:hAnsi="Titillium Web"/>
          <w:color w:val="44546A" w:themeColor="text2"/>
          <w:sz w:val="22"/>
          <w:szCs w:val="22"/>
        </w:rPr>
        <w:t>Lehrkräfte und Prüfer*innen mit Vorerkrankungen</w:t>
      </w:r>
      <w:bookmarkEnd w:id="11"/>
      <w:r w:rsidR="00A17DAF" w:rsidRPr="001E2205">
        <w:rPr>
          <w:rFonts w:ascii="Titillium Web" w:hAnsi="Titillium Web"/>
          <w:color w:val="44546A" w:themeColor="text2"/>
          <w:sz w:val="22"/>
          <w:szCs w:val="22"/>
        </w:rPr>
        <w:t xml:space="preserve"> </w:t>
      </w:r>
    </w:p>
    <w:p w14:paraId="0FC45052" w14:textId="3E4052BA" w:rsidR="007F0652" w:rsidRPr="007754FB" w:rsidRDefault="00A17DAF" w:rsidP="00F21822">
      <w:r w:rsidRPr="00BE4CA5">
        <w:t>Lehrkräfte und Prüfer*innen mit bestimmten Vorerkrankungen des Herz-Kreislauf-Systems (z. B. koronare Herzerkrankung und Bluthochdruck) oder der Lunge (z. B. COPD), Patienten mi</w:t>
      </w:r>
      <w:r w:rsidR="00C57910">
        <w:t>t chronischen Lebererkrankungen</w:t>
      </w:r>
      <w:r w:rsidRPr="00BE4CA5">
        <w:t xml:space="preserve">, mit Diabetes mellitus (Zuckerkrankheit), mit einer Krebserkrankung oder Patienten mit geschwächtem Immunsystem (z. B. aufgrund einer Erkrankung, die mit einer Immunschwäche einhergeht oder durch die regelmäßige Einnahme von Medikamenten, die die Immunabwehr beeinflussen und herabsetzen können, wie z.B. Cortison) </w:t>
      </w:r>
      <w:r w:rsidR="00DF6D29" w:rsidRPr="00BE4CA5">
        <w:t>gelten laut Einstufung des RKI als Risikogruppe. Der Einsatz der Prüfer*innen dieser Personengruppe erfolgt grundsä</w:t>
      </w:r>
      <w:r w:rsidR="00EB204B">
        <w:t xml:space="preserve">tzlich auf freiwilliger Basis. </w:t>
      </w:r>
      <w:r w:rsidR="00DF6D29" w:rsidRPr="00BE4CA5">
        <w:t xml:space="preserve">Der Einsatz der Lehrkräfte </w:t>
      </w:r>
      <w:r w:rsidR="00905F12" w:rsidRPr="00BE4CA5">
        <w:t xml:space="preserve">gilt grundsätzlich als geschuldet. In begründeten Fällen und bei Bedarf ist der Einsatz mit der zuständigen Geschäftsführung individuell abzustimmen. </w:t>
      </w:r>
    </w:p>
    <w:p w14:paraId="1F387CF6" w14:textId="641DD48B" w:rsidR="00F50958" w:rsidRPr="001E2205" w:rsidRDefault="00F50958" w:rsidP="001E2205">
      <w:pPr>
        <w:pStyle w:val="berschrift3"/>
        <w:spacing w:line="240" w:lineRule="auto"/>
        <w:rPr>
          <w:rFonts w:ascii="Titillium Web" w:hAnsi="Titillium Web"/>
          <w:color w:val="44546A" w:themeColor="text2"/>
          <w:sz w:val="22"/>
          <w:szCs w:val="22"/>
        </w:rPr>
      </w:pPr>
      <w:bookmarkStart w:id="12" w:name="_Toc39565432"/>
      <w:r w:rsidRPr="001E2205">
        <w:rPr>
          <w:rFonts w:ascii="Titillium Web" w:hAnsi="Titillium Web"/>
          <w:color w:val="44546A" w:themeColor="text2"/>
          <w:sz w:val="22"/>
          <w:szCs w:val="22"/>
        </w:rPr>
        <w:t>3.2.4 Dokumentations</w:t>
      </w:r>
      <w:r w:rsidR="00880661" w:rsidRPr="001E2205">
        <w:rPr>
          <w:rFonts w:ascii="Titillium Web" w:hAnsi="Titillium Web"/>
          <w:color w:val="44546A" w:themeColor="text2"/>
          <w:sz w:val="22"/>
          <w:szCs w:val="22"/>
        </w:rPr>
        <w:t>- und Melde</w:t>
      </w:r>
      <w:r w:rsidRPr="001E2205">
        <w:rPr>
          <w:rFonts w:ascii="Titillium Web" w:hAnsi="Titillium Web"/>
          <w:color w:val="44546A" w:themeColor="text2"/>
          <w:sz w:val="22"/>
          <w:szCs w:val="22"/>
        </w:rPr>
        <w:t>pflichten zur Nachverfolgung von Infektionsketten</w:t>
      </w:r>
      <w:bookmarkEnd w:id="12"/>
    </w:p>
    <w:p w14:paraId="105312A8" w14:textId="77777777" w:rsidR="00880661" w:rsidRPr="00F21822" w:rsidRDefault="00F50958" w:rsidP="00F21822">
      <w:r w:rsidRPr="00F21822">
        <w:t>Für jeden durchgeführten Lehrgang und Prüfung sind grundsätzlich alle Kontaktdaten der Teilnehmenden, Prüfer*innen und Prüflinge in Listenform zu dokumentieren.  Dokumentiert werden sollen der vollständige Name, Adresse, Erreichbarkeit sowie der</w:t>
      </w:r>
      <w:r w:rsidR="00DB08FF" w:rsidRPr="00F21822">
        <w:t xml:space="preserve"> </w:t>
      </w:r>
      <w:r w:rsidRPr="00F21822">
        <w:t xml:space="preserve">Zeitpunkt des Betretens und des Verlassens des Kurses bzw. der Prüfung. Die Dokumentation dient zur Nachverfolgungszwecken von Infektionsketten und ist nach einem Monat vollständig zu </w:t>
      </w:r>
      <w:r w:rsidR="00EB204B" w:rsidRPr="00F21822">
        <w:t xml:space="preserve">löschen. </w:t>
      </w:r>
    </w:p>
    <w:p w14:paraId="24C9D506" w14:textId="590D9030" w:rsidR="00880661" w:rsidRPr="00880661" w:rsidRDefault="00880661" w:rsidP="00F21822">
      <w:r w:rsidRPr="00880661">
        <w:t xml:space="preserve">Aufgrund der </w:t>
      </w:r>
      <w:proofErr w:type="spellStart"/>
      <w:r w:rsidRPr="00880661">
        <w:t>Coronavirus</w:t>
      </w:r>
      <w:proofErr w:type="spellEnd"/>
      <w:r w:rsidRPr="00880661">
        <w:t>-Meldepflichtverordnung i. V. m. § 8 und § 36 des</w:t>
      </w:r>
      <w:r>
        <w:t xml:space="preserve"> </w:t>
      </w:r>
      <w:r w:rsidRPr="00880661">
        <w:t>Infektionsschutzgesetzes ist sowohl der Verdacht einer Erkrankung als auch das</w:t>
      </w:r>
      <w:r>
        <w:t xml:space="preserve"> </w:t>
      </w:r>
      <w:r w:rsidRPr="00880661">
        <w:t xml:space="preserve">Auftreten von COVID-19 Fällen in </w:t>
      </w:r>
      <w:r>
        <w:t>der Bildungseinrichtung</w:t>
      </w:r>
      <w:r w:rsidRPr="00880661">
        <w:t xml:space="preserve"> dem Gesundheitsamt zu melden.</w:t>
      </w:r>
    </w:p>
    <w:p w14:paraId="1C7C0711" w14:textId="137D11DF" w:rsidR="00A17DAF" w:rsidRPr="001E2205" w:rsidRDefault="00F658DA" w:rsidP="001E2205">
      <w:pPr>
        <w:pStyle w:val="berschrift3"/>
        <w:spacing w:line="240" w:lineRule="auto"/>
        <w:rPr>
          <w:rFonts w:ascii="Titillium Web" w:hAnsi="Titillium Web"/>
          <w:color w:val="44546A" w:themeColor="text2"/>
          <w:sz w:val="22"/>
          <w:szCs w:val="22"/>
        </w:rPr>
      </w:pPr>
      <w:bookmarkStart w:id="13" w:name="_Toc39565433"/>
      <w:r w:rsidRPr="001E2205">
        <w:rPr>
          <w:rFonts w:ascii="Titillium Web" w:hAnsi="Titillium Web"/>
          <w:color w:val="44546A" w:themeColor="text2"/>
          <w:sz w:val="22"/>
          <w:szCs w:val="22"/>
        </w:rPr>
        <w:lastRenderedPageBreak/>
        <w:t>3.2</w:t>
      </w:r>
      <w:r w:rsidR="00E44F97" w:rsidRPr="001E2205">
        <w:rPr>
          <w:rFonts w:ascii="Titillium Web" w:hAnsi="Titillium Web"/>
          <w:color w:val="44546A" w:themeColor="text2"/>
          <w:sz w:val="22"/>
          <w:szCs w:val="22"/>
        </w:rPr>
        <w:t xml:space="preserve">.5 </w:t>
      </w:r>
      <w:r w:rsidR="00A17DAF" w:rsidRPr="001E2205">
        <w:rPr>
          <w:rFonts w:ascii="Titillium Web" w:hAnsi="Titillium Web"/>
          <w:color w:val="44546A" w:themeColor="text2"/>
          <w:sz w:val="22"/>
          <w:szCs w:val="22"/>
        </w:rPr>
        <w:t>Persönliches Verhalten</w:t>
      </w:r>
      <w:bookmarkEnd w:id="13"/>
      <w:r w:rsidR="00A17DAF" w:rsidRPr="001E2205">
        <w:rPr>
          <w:rFonts w:ascii="Titillium Web" w:hAnsi="Titillium Web"/>
          <w:color w:val="44546A" w:themeColor="text2"/>
          <w:sz w:val="22"/>
          <w:szCs w:val="22"/>
        </w:rPr>
        <w:t xml:space="preserve"> </w:t>
      </w:r>
    </w:p>
    <w:p w14:paraId="5C7364DF" w14:textId="7BE422C3" w:rsidR="00535094" w:rsidRPr="007F0652" w:rsidRDefault="00A17DAF" w:rsidP="00F21822">
      <w:r w:rsidRPr="007F0652">
        <w:t xml:space="preserve">Neben Beachten der Husten- und Nies-Etikette, der Händehygiene und der Abstandsregeln sollten keine Bedarfsgegenstände wie Gläser, Flaschen zum Trinken, Löffel etc. gemeinsam genutzt werden. </w:t>
      </w:r>
    </w:p>
    <w:p w14:paraId="51F19ED8" w14:textId="61785CEB" w:rsidR="00A17DAF" w:rsidRPr="001E2205" w:rsidRDefault="00F658DA" w:rsidP="001E2205">
      <w:pPr>
        <w:pStyle w:val="berschrift3"/>
        <w:spacing w:line="240" w:lineRule="auto"/>
        <w:rPr>
          <w:rFonts w:ascii="Titillium Web" w:hAnsi="Titillium Web"/>
          <w:color w:val="44546A" w:themeColor="text2"/>
          <w:sz w:val="22"/>
          <w:szCs w:val="22"/>
        </w:rPr>
      </w:pPr>
      <w:bookmarkStart w:id="14" w:name="_Toc39565434"/>
      <w:r w:rsidRPr="001E2205">
        <w:rPr>
          <w:rFonts w:ascii="Titillium Web" w:hAnsi="Titillium Web"/>
          <w:color w:val="44546A" w:themeColor="text2"/>
          <w:sz w:val="22"/>
          <w:szCs w:val="22"/>
        </w:rPr>
        <w:t>3.2</w:t>
      </w:r>
      <w:r w:rsidR="00E44F97" w:rsidRPr="001E2205">
        <w:rPr>
          <w:rFonts w:ascii="Titillium Web" w:hAnsi="Titillium Web"/>
          <w:color w:val="44546A" w:themeColor="text2"/>
          <w:sz w:val="22"/>
          <w:szCs w:val="22"/>
        </w:rPr>
        <w:t xml:space="preserve">.6 </w:t>
      </w:r>
      <w:r w:rsidR="00A17DAF" w:rsidRPr="001E2205">
        <w:rPr>
          <w:rFonts w:ascii="Titillium Web" w:hAnsi="Titillium Web"/>
          <w:color w:val="44546A" w:themeColor="text2"/>
          <w:sz w:val="22"/>
          <w:szCs w:val="22"/>
        </w:rPr>
        <w:t>Ausschluss symptomatischer Teilnehmer*innen</w:t>
      </w:r>
      <w:bookmarkEnd w:id="14"/>
      <w:r w:rsidR="00A17DAF" w:rsidRPr="001E2205">
        <w:rPr>
          <w:rFonts w:ascii="Titillium Web" w:hAnsi="Titillium Web"/>
          <w:color w:val="44546A" w:themeColor="text2"/>
          <w:sz w:val="22"/>
          <w:szCs w:val="22"/>
        </w:rPr>
        <w:t xml:space="preserve"> </w:t>
      </w:r>
    </w:p>
    <w:p w14:paraId="4D05994A" w14:textId="36B20A1B" w:rsidR="00535094" w:rsidRDefault="00A17DAF" w:rsidP="00F21822">
      <w:r w:rsidRPr="007F0652">
        <w:t xml:space="preserve">Symptomatisch kranke Personen </w:t>
      </w:r>
      <w:r w:rsidR="004F1AE8">
        <w:t>können</w:t>
      </w:r>
      <w:r w:rsidR="004F1AE8" w:rsidRPr="007F0652">
        <w:t xml:space="preserve"> </w:t>
      </w:r>
      <w:r w:rsidRPr="007F0652">
        <w:t xml:space="preserve">von der Prüfung oder dem Lehrgang </w:t>
      </w:r>
      <w:r w:rsidR="004F1AE8">
        <w:t>ausgeschlossen werden</w:t>
      </w:r>
      <w:r w:rsidRPr="007F0652">
        <w:t xml:space="preserve">. </w:t>
      </w:r>
    </w:p>
    <w:p w14:paraId="6AD69814" w14:textId="4955BEF2" w:rsidR="00A17DAF" w:rsidRPr="001E2205" w:rsidRDefault="00F658DA" w:rsidP="001E2205">
      <w:pPr>
        <w:pStyle w:val="berschrift3"/>
        <w:spacing w:line="240" w:lineRule="auto"/>
        <w:rPr>
          <w:rFonts w:ascii="Titillium Web" w:hAnsi="Titillium Web"/>
          <w:color w:val="44546A" w:themeColor="text2"/>
          <w:sz w:val="22"/>
          <w:szCs w:val="22"/>
        </w:rPr>
      </w:pPr>
      <w:bookmarkStart w:id="15" w:name="_Toc39565435"/>
      <w:r w:rsidRPr="001E2205">
        <w:rPr>
          <w:rFonts w:ascii="Titillium Web" w:hAnsi="Titillium Web"/>
          <w:color w:val="44546A" w:themeColor="text2"/>
          <w:sz w:val="22"/>
          <w:szCs w:val="22"/>
        </w:rPr>
        <w:t>3.2</w:t>
      </w:r>
      <w:r w:rsidR="00E44F97" w:rsidRPr="001E2205">
        <w:rPr>
          <w:rFonts w:ascii="Titillium Web" w:hAnsi="Titillium Web"/>
          <w:color w:val="44546A" w:themeColor="text2"/>
          <w:sz w:val="22"/>
          <w:szCs w:val="22"/>
        </w:rPr>
        <w:t xml:space="preserve">.7 </w:t>
      </w:r>
      <w:r w:rsidR="00A17DAF" w:rsidRPr="001E2205">
        <w:rPr>
          <w:rFonts w:ascii="Titillium Web" w:hAnsi="Titillium Web"/>
          <w:color w:val="44546A" w:themeColor="text2"/>
          <w:sz w:val="22"/>
          <w:szCs w:val="22"/>
        </w:rPr>
        <w:t>Gestaltung des Prüfungsraumes bzw. Seminarraumes oder der Lehrwerkstatt</w:t>
      </w:r>
      <w:bookmarkEnd w:id="15"/>
      <w:r w:rsidR="00A17DAF" w:rsidRPr="001E2205">
        <w:rPr>
          <w:rFonts w:ascii="Titillium Web" w:hAnsi="Titillium Web"/>
          <w:color w:val="44546A" w:themeColor="text2"/>
          <w:sz w:val="22"/>
          <w:szCs w:val="22"/>
        </w:rPr>
        <w:t xml:space="preserve"> </w:t>
      </w:r>
    </w:p>
    <w:p w14:paraId="0467776B" w14:textId="7F0C7EA8" w:rsidR="00535094" w:rsidRPr="00535094" w:rsidRDefault="00A17DAF" w:rsidP="00F21822">
      <w:r w:rsidRPr="00535094">
        <w:t xml:space="preserve">Die Gestaltung des Prüfungsraumes bietet von der Tisch- und Sitzordnung, dem Zugang zum Prüfungsraum und zum Sitzplatz, der </w:t>
      </w:r>
      <w:proofErr w:type="spellStart"/>
      <w:r w:rsidRPr="00535094">
        <w:t>Belüftbarkeit</w:t>
      </w:r>
      <w:proofErr w:type="spellEnd"/>
      <w:r w:rsidRPr="00535094">
        <w:t xml:space="preserve"> und dem Zugang zu Toiletten und Waschgelegenheiten die Gewähr, dass der vorgegebene Mindestabstand zwischen Prüflingen und Prüfern von 1,50 Meter zu jedem Zeitpunkt eingehalten werden kann. Die Hand-Kontaktflächen wie Tische sollen leicht zu reinigen und zu desinfizieren sein. </w:t>
      </w:r>
    </w:p>
    <w:p w14:paraId="105D01C4" w14:textId="6B3A9E13" w:rsidR="00A17DAF" w:rsidRPr="001E2205" w:rsidRDefault="00F658DA" w:rsidP="001E2205">
      <w:pPr>
        <w:pStyle w:val="berschrift3"/>
        <w:spacing w:line="240" w:lineRule="auto"/>
        <w:rPr>
          <w:rFonts w:ascii="Titillium Web" w:hAnsi="Titillium Web"/>
          <w:color w:val="44546A" w:themeColor="text2"/>
          <w:sz w:val="22"/>
          <w:szCs w:val="22"/>
        </w:rPr>
      </w:pPr>
      <w:bookmarkStart w:id="16" w:name="_Toc39565436"/>
      <w:r w:rsidRPr="001E2205">
        <w:rPr>
          <w:rFonts w:ascii="Titillium Web" w:hAnsi="Titillium Web"/>
          <w:color w:val="44546A" w:themeColor="text2"/>
          <w:sz w:val="22"/>
          <w:szCs w:val="22"/>
        </w:rPr>
        <w:t>3.2</w:t>
      </w:r>
      <w:r w:rsidR="00E44F97" w:rsidRPr="001E2205">
        <w:rPr>
          <w:rFonts w:ascii="Titillium Web" w:hAnsi="Titillium Web"/>
          <w:color w:val="44546A" w:themeColor="text2"/>
          <w:sz w:val="22"/>
          <w:szCs w:val="22"/>
        </w:rPr>
        <w:t xml:space="preserve">.8 </w:t>
      </w:r>
      <w:r w:rsidR="00A17DAF" w:rsidRPr="001E2205">
        <w:rPr>
          <w:rFonts w:ascii="Titillium Web" w:hAnsi="Titillium Web"/>
          <w:color w:val="44546A" w:themeColor="text2"/>
          <w:sz w:val="22"/>
          <w:szCs w:val="22"/>
        </w:rPr>
        <w:t xml:space="preserve">Erweiterte Präventivmaßnahmen durch </w:t>
      </w:r>
      <w:r w:rsidR="00535094" w:rsidRPr="001E2205">
        <w:rPr>
          <w:rFonts w:ascii="Titillium Web" w:hAnsi="Titillium Web"/>
          <w:color w:val="44546A" w:themeColor="text2"/>
          <w:sz w:val="22"/>
          <w:szCs w:val="22"/>
        </w:rPr>
        <w:t xml:space="preserve">das </w:t>
      </w:r>
      <w:r w:rsidR="00A17DAF" w:rsidRPr="001E2205">
        <w:rPr>
          <w:rFonts w:ascii="Titillium Web" w:hAnsi="Titillium Web"/>
          <w:color w:val="44546A" w:themeColor="text2"/>
          <w:sz w:val="22"/>
          <w:szCs w:val="22"/>
        </w:rPr>
        <w:t xml:space="preserve">Tragen </w:t>
      </w:r>
      <w:r w:rsidR="00535094" w:rsidRPr="001E2205">
        <w:rPr>
          <w:rFonts w:ascii="Titillium Web" w:hAnsi="Titillium Web"/>
          <w:color w:val="44546A" w:themeColor="text2"/>
          <w:sz w:val="22"/>
          <w:szCs w:val="22"/>
        </w:rPr>
        <w:t>von Nasen-Mund-Schutz</w:t>
      </w:r>
      <w:bookmarkEnd w:id="16"/>
      <w:r w:rsidR="00A17DAF" w:rsidRPr="001E2205">
        <w:rPr>
          <w:rFonts w:ascii="Titillium Web" w:hAnsi="Titillium Web"/>
          <w:color w:val="44546A" w:themeColor="text2"/>
          <w:sz w:val="22"/>
          <w:szCs w:val="22"/>
        </w:rPr>
        <w:t xml:space="preserve"> </w:t>
      </w:r>
    </w:p>
    <w:p w14:paraId="5B197107" w14:textId="302F7DA0" w:rsidR="00905F12" w:rsidRDefault="00905F12" w:rsidP="00F21822">
      <w:r>
        <w:t xml:space="preserve">Das Tragen des Nasen-Mund-Schutze ist für das gesamte freie Gelände der </w:t>
      </w:r>
      <w:r w:rsidR="00DB08FF">
        <w:t>Bildungsstätte</w:t>
      </w:r>
      <w:r>
        <w:t>, in den gemeinschaftlichen Räumen (Fo</w:t>
      </w:r>
      <w:r w:rsidR="00DB08FF">
        <w:t>yer, Flure, Aufenthaltsräume</w:t>
      </w:r>
      <w:r>
        <w:t>, Sanitärräume) grundsätzlich für alle Teilnehmenden, Prüflinge, Prüfer*innen und alle anderen Personengruppen verpflichtend. Der Nasen-Mund-Schutz ist auch beim Gebäude</w:t>
      </w:r>
      <w:r w:rsidR="00DB08FF">
        <w:t>wechsel und am E</w:t>
      </w:r>
      <w:r>
        <w:t>mpfang stets zu tragen. Dieser kann in Werkstätten und Büroräumlichkeiten abgenommen werden, sofern der Mindestsicherheitsabstand von 1,50 Metern zu anderen sich in diesen Räumlichkeiten befindenden Personen gewährleistet werden kann.</w:t>
      </w:r>
    </w:p>
    <w:p w14:paraId="7A11F58D" w14:textId="28F34030" w:rsidR="00905F12" w:rsidRDefault="00905F12" w:rsidP="00F21822">
      <w:r>
        <w:t xml:space="preserve">Teilnehmende und Prüflinge haben dafür Sorge zu tragen, eigenen Nasen-Mund-Schutz mitzuführen. Bei Bedarf wird jedoch der Nasen-Mund-Schutz am jeweiligen Lehrgangs- bzw. Prüfungstag den Teilnehmenden und Prüflingen zur Verfügung gestellt. </w:t>
      </w:r>
    </w:p>
    <w:p w14:paraId="0E06F77D" w14:textId="4A2EFB95" w:rsidR="0019161E" w:rsidRDefault="00905F12" w:rsidP="00F21822">
      <w:r>
        <w:t>Das Personal und Prüfer*innen w</w:t>
      </w:r>
      <w:r w:rsidR="00DB08FF">
        <w:t>ird vom Träger der Bildungsstätte</w:t>
      </w:r>
      <w:r>
        <w:t xml:space="preserve"> mit entsprechenden Nasen-Mund-Schutz ausgestattet.  </w:t>
      </w:r>
    </w:p>
    <w:p w14:paraId="7DA73F72" w14:textId="1E7CC035" w:rsidR="00A17DAF" w:rsidRPr="001E2205" w:rsidRDefault="00F658DA" w:rsidP="001E2205">
      <w:pPr>
        <w:pStyle w:val="berschrift3"/>
        <w:spacing w:line="240" w:lineRule="auto"/>
        <w:rPr>
          <w:rFonts w:ascii="Titillium Web" w:hAnsi="Titillium Web"/>
          <w:color w:val="44546A" w:themeColor="text2"/>
          <w:sz w:val="22"/>
          <w:szCs w:val="22"/>
        </w:rPr>
      </w:pPr>
      <w:bookmarkStart w:id="17" w:name="_Toc39565437"/>
      <w:r w:rsidRPr="001E2205">
        <w:rPr>
          <w:rFonts w:ascii="Titillium Web" w:hAnsi="Titillium Web"/>
          <w:color w:val="44546A" w:themeColor="text2"/>
          <w:sz w:val="22"/>
          <w:szCs w:val="22"/>
        </w:rPr>
        <w:t>3.2</w:t>
      </w:r>
      <w:r w:rsidR="00E44F97" w:rsidRPr="001E2205">
        <w:rPr>
          <w:rFonts w:ascii="Titillium Web" w:hAnsi="Titillium Web"/>
          <w:color w:val="44546A" w:themeColor="text2"/>
          <w:sz w:val="22"/>
          <w:szCs w:val="22"/>
        </w:rPr>
        <w:t xml:space="preserve">.9 </w:t>
      </w:r>
      <w:r w:rsidR="00A17DAF" w:rsidRPr="001E2205">
        <w:rPr>
          <w:rFonts w:ascii="Titillium Web" w:hAnsi="Titillium Web"/>
          <w:color w:val="44546A" w:themeColor="text2"/>
          <w:sz w:val="22"/>
          <w:szCs w:val="22"/>
        </w:rPr>
        <w:t>Selbstkontrolle auf Symptome</w:t>
      </w:r>
      <w:bookmarkEnd w:id="17"/>
      <w:r w:rsidR="00A17DAF" w:rsidRPr="001E2205">
        <w:rPr>
          <w:rFonts w:ascii="Titillium Web" w:hAnsi="Titillium Web"/>
          <w:color w:val="44546A" w:themeColor="text2"/>
          <w:sz w:val="22"/>
          <w:szCs w:val="22"/>
        </w:rPr>
        <w:t xml:space="preserve"> </w:t>
      </w:r>
    </w:p>
    <w:p w14:paraId="0BC4DC99" w14:textId="134A001C" w:rsidR="00D371C1" w:rsidRPr="00D371C1" w:rsidRDefault="00A17DAF" w:rsidP="00F21822">
      <w:r w:rsidRPr="00535094">
        <w:t xml:space="preserve">Lehrgangsteilnehmer*innen, Prüflinge und Prüfer*innen bzw. Lehrkräfte und Aufsichtspersonal müssen zu einer regelmäßigen Selbstkontrolle auf Symptome angehalten werden, im Falle auffälliger Symptome einer Atemwegsinfektion oder sonstiger Hinweise für eine akute Beschwerdesymptomatik, die für eine beginnende Covid-19-Erkrankung spricht, ist die weitere Prüfung oder der Lehrgang in Absprache mit dem Lehrpersonal bzw. den Prüfer*innen oder der Prüfungsaufsicht sofort zu unterbrechen und unmittelbar und verpflichtend ein </w:t>
      </w:r>
      <w:r w:rsidR="00535094">
        <w:t>Nasen-Mund</w:t>
      </w:r>
      <w:r w:rsidRPr="00535094">
        <w:t xml:space="preserve">-Schutz anzulegen. Anschließend hat sich die betroffene Person in weitere Abklärung zu begeben. Die Entscheidung zur Bestätigung eines begründeten Infektionsverdachtes treffen das Lehrpersonal bzw. die Prüfer*innen oder die Prüfungsaufsicht. </w:t>
      </w:r>
    </w:p>
    <w:p w14:paraId="1A4F9C45" w14:textId="382C9375" w:rsidR="00A17DAF" w:rsidRPr="001E2205" w:rsidRDefault="00F658DA" w:rsidP="001E2205">
      <w:pPr>
        <w:pStyle w:val="berschrift3"/>
        <w:spacing w:line="240" w:lineRule="auto"/>
        <w:rPr>
          <w:rFonts w:ascii="Titillium Web" w:hAnsi="Titillium Web"/>
          <w:color w:val="44546A" w:themeColor="text2"/>
          <w:sz w:val="22"/>
          <w:szCs w:val="22"/>
        </w:rPr>
      </w:pPr>
      <w:bookmarkStart w:id="18" w:name="_Toc39565438"/>
      <w:r w:rsidRPr="001E2205">
        <w:rPr>
          <w:rFonts w:ascii="Titillium Web" w:hAnsi="Titillium Web"/>
          <w:color w:val="44546A" w:themeColor="text2"/>
          <w:sz w:val="22"/>
          <w:szCs w:val="22"/>
        </w:rPr>
        <w:lastRenderedPageBreak/>
        <w:t>3.2</w:t>
      </w:r>
      <w:r w:rsidR="00E44F97" w:rsidRPr="001E2205">
        <w:rPr>
          <w:rFonts w:ascii="Titillium Web" w:hAnsi="Titillium Web"/>
          <w:color w:val="44546A" w:themeColor="text2"/>
          <w:sz w:val="22"/>
          <w:szCs w:val="22"/>
        </w:rPr>
        <w:t>.1</w:t>
      </w:r>
      <w:r w:rsidRPr="001E2205">
        <w:rPr>
          <w:rFonts w:ascii="Titillium Web" w:hAnsi="Titillium Web"/>
          <w:color w:val="44546A" w:themeColor="text2"/>
          <w:sz w:val="22"/>
          <w:szCs w:val="22"/>
        </w:rPr>
        <w:t>0</w:t>
      </w:r>
      <w:r w:rsidR="00E44F97" w:rsidRPr="001E2205">
        <w:rPr>
          <w:rFonts w:ascii="Titillium Web" w:hAnsi="Titillium Web"/>
          <w:color w:val="44546A" w:themeColor="text2"/>
          <w:sz w:val="22"/>
          <w:szCs w:val="22"/>
        </w:rPr>
        <w:t xml:space="preserve"> </w:t>
      </w:r>
      <w:r w:rsidR="00A17DAF" w:rsidRPr="001E2205">
        <w:rPr>
          <w:rFonts w:ascii="Titillium Web" w:hAnsi="Titillium Web"/>
          <w:color w:val="44546A" w:themeColor="text2"/>
          <w:sz w:val="22"/>
          <w:szCs w:val="22"/>
        </w:rPr>
        <w:t>Standards für die Sauberkeit in den Schulungs- bzw. Prüfungsräumen</w:t>
      </w:r>
      <w:bookmarkEnd w:id="18"/>
      <w:r w:rsidR="00A17DAF" w:rsidRPr="001E2205">
        <w:rPr>
          <w:rFonts w:ascii="Titillium Web" w:hAnsi="Titillium Web"/>
          <w:color w:val="44546A" w:themeColor="text2"/>
          <w:sz w:val="22"/>
          <w:szCs w:val="22"/>
        </w:rPr>
        <w:t xml:space="preserve"> </w:t>
      </w:r>
    </w:p>
    <w:p w14:paraId="34755875" w14:textId="61389A84" w:rsidR="00D371C1" w:rsidRDefault="00A17DAF" w:rsidP="00F21822">
      <w:r w:rsidRPr="00D371C1">
        <w:t>Die Übertragung von SARS-CoV-2 durch kontaminierte, nicht mit Händen berührte Flächen innerhalb und außerhalb der Schulungs- und Prüfungsräume, den sonstigen Sozialräumen und der Außenbereiche, in denen sich Lehrgangsteilnehmer*innen, Prüflinge, Prüfer*innen und (Lehr-)Personal aufhalten, kann als unbedeutend gewertet werden, solange der Übertragungsweg über die Hände nicht gegeben ist. Der Übert</w:t>
      </w:r>
      <w:r w:rsidR="00D371C1">
        <w:t xml:space="preserve">ragungsweg über kontaminierte </w:t>
      </w:r>
      <w:r w:rsidRPr="00D371C1">
        <w:t xml:space="preserve">Hände nach Kontakt zu kontaminierten Oberflächen ist grundsätzlich gegeben, auch wenn sein Anteil als eher gering eingeschätzt wird. Potenziell </w:t>
      </w:r>
      <w:r w:rsidRPr="007754FB">
        <w:t xml:space="preserve">kontaminierte Flächen, die durch Händekontakte zu einer Übertragung beitragen könnten, </w:t>
      </w:r>
      <w:r w:rsidRPr="00BE4CA5">
        <w:t xml:space="preserve">sollen durch </w:t>
      </w:r>
      <w:r w:rsidR="007754FB" w:rsidRPr="00BE4CA5">
        <w:t xml:space="preserve">Zusatzdesinfektion </w:t>
      </w:r>
      <w:r w:rsidRPr="00BE4CA5">
        <w:t>dekontaminiert werden. Es sollten nur VAH-gelistete Desinfektio</w:t>
      </w:r>
      <w:r w:rsidR="00471F68" w:rsidRPr="00BE4CA5">
        <w:t xml:space="preserve">nsmittel mit begrenzter </w:t>
      </w:r>
      <w:proofErr w:type="spellStart"/>
      <w:r w:rsidR="00471F68" w:rsidRPr="00BE4CA5">
        <w:t>Viruzid</w:t>
      </w:r>
      <w:r w:rsidRPr="00BE4CA5">
        <w:t>e</w:t>
      </w:r>
      <w:proofErr w:type="spellEnd"/>
      <w:r w:rsidRPr="00BE4CA5">
        <w:t xml:space="preserve"> verwendet werden. Aus diesem Grund </w:t>
      </w:r>
      <w:r w:rsidR="007754FB" w:rsidRPr="00BE4CA5">
        <w:t xml:space="preserve">sind </w:t>
      </w:r>
      <w:r w:rsidRPr="00BE4CA5">
        <w:t>vorhandene Reinigungspl</w:t>
      </w:r>
      <w:r w:rsidR="007754FB" w:rsidRPr="00BE4CA5">
        <w:t xml:space="preserve">äne </w:t>
      </w:r>
      <w:r w:rsidR="0019161E" w:rsidRPr="00BE4CA5">
        <w:t>entsprechend</w:t>
      </w:r>
      <w:r w:rsidRPr="00BE4CA5">
        <w:t xml:space="preserve"> </w:t>
      </w:r>
      <w:r w:rsidR="0019161E">
        <w:t>z</w:t>
      </w:r>
      <w:r w:rsidR="007754FB" w:rsidRPr="007754FB">
        <w:t xml:space="preserve">u </w:t>
      </w:r>
      <w:r w:rsidR="007754FB" w:rsidRPr="00F50958">
        <w:t>überarbeiten und die Einhaltung dieser mit dem Reinigungsdienstleiter zu vereinbaren und nachzuhalten. In die entsprechenden Reinigungspläne kann jederzeit Einsicht genommen werden.</w:t>
      </w:r>
      <w:r w:rsidR="007754FB">
        <w:t xml:space="preserve"> </w:t>
      </w:r>
    </w:p>
    <w:p w14:paraId="14CF4E0F" w14:textId="7C0EFB4B" w:rsidR="00A17DAF" w:rsidRPr="001E2205" w:rsidRDefault="00F658DA" w:rsidP="001E2205">
      <w:pPr>
        <w:pStyle w:val="berschrift3"/>
        <w:spacing w:line="240" w:lineRule="auto"/>
        <w:rPr>
          <w:rFonts w:ascii="Titillium Web" w:hAnsi="Titillium Web"/>
          <w:color w:val="44546A" w:themeColor="text2"/>
          <w:sz w:val="22"/>
          <w:szCs w:val="22"/>
        </w:rPr>
      </w:pPr>
      <w:bookmarkStart w:id="19" w:name="_Toc39565439"/>
      <w:r w:rsidRPr="001E2205">
        <w:rPr>
          <w:rFonts w:ascii="Titillium Web" w:hAnsi="Titillium Web"/>
          <w:color w:val="44546A" w:themeColor="text2"/>
          <w:sz w:val="22"/>
          <w:szCs w:val="22"/>
        </w:rPr>
        <w:t>3.2.11</w:t>
      </w:r>
      <w:r w:rsidR="00E44F97" w:rsidRPr="001E2205">
        <w:rPr>
          <w:rFonts w:ascii="Titillium Web" w:hAnsi="Titillium Web"/>
          <w:color w:val="44546A" w:themeColor="text2"/>
          <w:sz w:val="22"/>
          <w:szCs w:val="22"/>
        </w:rPr>
        <w:t xml:space="preserve"> </w:t>
      </w:r>
      <w:r w:rsidR="00A17DAF" w:rsidRPr="001E2205">
        <w:rPr>
          <w:rFonts w:ascii="Titillium Web" w:hAnsi="Titillium Web"/>
          <w:color w:val="44546A" w:themeColor="text2"/>
          <w:sz w:val="22"/>
          <w:szCs w:val="22"/>
        </w:rPr>
        <w:t>Kommunikation der Lehrgangs- und Prüfungsbedingungen unter den Präventionsauflagen</w:t>
      </w:r>
      <w:bookmarkEnd w:id="19"/>
      <w:r w:rsidR="00A17DAF" w:rsidRPr="001E2205">
        <w:rPr>
          <w:rFonts w:ascii="Titillium Web" w:hAnsi="Titillium Web"/>
          <w:color w:val="44546A" w:themeColor="text2"/>
          <w:sz w:val="22"/>
          <w:szCs w:val="22"/>
        </w:rPr>
        <w:t xml:space="preserve"> </w:t>
      </w:r>
    </w:p>
    <w:p w14:paraId="6FF248D9" w14:textId="77777777" w:rsidR="00A17DAF" w:rsidRPr="00BE4CA5" w:rsidRDefault="00A17DAF" w:rsidP="00F21822">
      <w:r w:rsidRPr="00BE4CA5">
        <w:t xml:space="preserve">Informationen zu den Lehrgangs- und Prüfungsvoraussetzungen und den besonderen Bedingungen der Infektionsprävention sollen schriftlich zusammengefasst werden und allen Beteiligten, dem sonstigen Personal und sonstigen Personen, die sich während der Lehrgänge oder Prüfungen im Gebäude aufhalten, ausgehändigt oder in geeigneter Form zur Kenntnis gebracht werden. </w:t>
      </w:r>
    </w:p>
    <w:p w14:paraId="36735E24" w14:textId="3D97C6C7" w:rsidR="00AF1C9D" w:rsidRDefault="00A17DAF" w:rsidP="00F21822">
      <w:r w:rsidRPr="00BE4CA5">
        <w:t>Die Informationen sollen auch Empfehlungen zum Verhalten bei der An- und Abreise zum Lehrgangs- bzw. Prüfung</w:t>
      </w:r>
      <w:r w:rsidR="007937C2">
        <w:t>sort sowie zum weiteren Symptom-M</w:t>
      </w:r>
      <w:r w:rsidRPr="00BE4CA5">
        <w:t>onitoring nach Lehrgangs- bzw. Prüfungsende beinhalten.</w:t>
      </w:r>
    </w:p>
    <w:p w14:paraId="02EF5FE7" w14:textId="4306542C" w:rsidR="00F658DA" w:rsidRPr="0019161E" w:rsidRDefault="00F658DA" w:rsidP="00F658DA">
      <w:pPr>
        <w:pStyle w:val="berschrift2"/>
        <w:spacing w:line="360" w:lineRule="auto"/>
        <w:rPr>
          <w:b/>
          <w:color w:val="44546A" w:themeColor="text2"/>
        </w:rPr>
      </w:pPr>
      <w:bookmarkStart w:id="20" w:name="_Toc39565440"/>
      <w:r w:rsidRPr="0019161E">
        <w:rPr>
          <w:b/>
          <w:color w:val="44546A" w:themeColor="text2"/>
        </w:rPr>
        <w:t>3.3 Kriterien für die Arbeit im Verwaltungsbereich</w:t>
      </w:r>
      <w:bookmarkEnd w:id="20"/>
    </w:p>
    <w:p w14:paraId="343EC5B5" w14:textId="33A69BD6" w:rsidR="00471F68" w:rsidRPr="001E2205" w:rsidRDefault="00471F68" w:rsidP="001E2205">
      <w:pPr>
        <w:pStyle w:val="berschrift3"/>
        <w:spacing w:line="240" w:lineRule="auto"/>
        <w:rPr>
          <w:rFonts w:ascii="Titillium Web" w:hAnsi="Titillium Web"/>
          <w:color w:val="44546A" w:themeColor="text2"/>
          <w:sz w:val="22"/>
          <w:szCs w:val="22"/>
        </w:rPr>
      </w:pPr>
      <w:bookmarkStart w:id="21" w:name="_Toc39565441"/>
      <w:r w:rsidRPr="001E2205">
        <w:rPr>
          <w:rFonts w:ascii="Titillium Web" w:hAnsi="Titillium Web"/>
          <w:color w:val="44546A" w:themeColor="text2"/>
          <w:sz w:val="22"/>
          <w:szCs w:val="22"/>
        </w:rPr>
        <w:t>3.3.1 Bürobesetzung / Arbeitsplatzgestaltung</w:t>
      </w:r>
      <w:bookmarkEnd w:id="21"/>
    </w:p>
    <w:p w14:paraId="673391B6" w14:textId="564D5F0B" w:rsidR="00471F68" w:rsidRDefault="00DA1373" w:rsidP="00F21822">
      <w:r>
        <w:t xml:space="preserve">Es gilt Raumkapazitäten </w:t>
      </w:r>
      <w:r w:rsidR="00012D70">
        <w:t xml:space="preserve">so zu nutzen und die Arbeit so zu organisieren, dass Büro-Mehrfachbelegungen vermieden </w:t>
      </w:r>
      <w:r w:rsidR="00DB08FF">
        <w:t>werden können bzw. ausreichende</w:t>
      </w:r>
      <w:r w:rsidR="00012D70">
        <w:t xml:space="preserve"> Schutzabstände gegeben sind. Der Mindest-Schutz-Abstand beträgt 1,5</w:t>
      </w:r>
      <w:r w:rsidR="000F4364">
        <w:t>0</w:t>
      </w:r>
      <w:r w:rsidR="00012D70">
        <w:t xml:space="preserve"> Meter</w:t>
      </w:r>
      <w:r w:rsidR="00471F68" w:rsidRPr="00471F68">
        <w:t>. Wo dies auch durch Maßnahmen der Arbeitsorganisation nicht möglich ist, müssen alternative Schutzmaßnahmen</w:t>
      </w:r>
      <w:r w:rsidR="00012D70">
        <w:t xml:space="preserve">, wie mechanische Barrieren </w:t>
      </w:r>
      <w:r w:rsidR="000F4364">
        <w:t>(bspw. Metaplanw</w:t>
      </w:r>
      <w:r w:rsidR="007754FB">
        <w:t xml:space="preserve">ände, oder andere Schutzvorrichtungen) </w:t>
      </w:r>
      <w:r w:rsidR="00471F68" w:rsidRPr="00471F68">
        <w:t xml:space="preserve">ergriffen werden. </w:t>
      </w:r>
      <w:r w:rsidR="00012D70">
        <w:t xml:space="preserve">Sollten Schutzabstände und Schutzbarrieren nicht greifen, ist das Anlegen eines </w:t>
      </w:r>
      <w:r w:rsidR="00687FEE">
        <w:t>Nasen-Mund</w:t>
      </w:r>
      <w:r w:rsidR="00012D70">
        <w:t xml:space="preserve">-Schutzes </w:t>
      </w:r>
      <w:r w:rsidR="007754FB">
        <w:t xml:space="preserve">auch in den Büro-Räumlichkeiten </w:t>
      </w:r>
      <w:r w:rsidR="00012D70">
        <w:t>verpflichtend.</w:t>
      </w:r>
    </w:p>
    <w:p w14:paraId="67726434" w14:textId="714400A9" w:rsidR="0019161E" w:rsidRDefault="00012D70" w:rsidP="00F21822">
      <w:r>
        <w:t xml:space="preserve">Wenn sinnvoll ist </w:t>
      </w:r>
      <w:r w:rsidR="00471F68" w:rsidRPr="00471F68">
        <w:t>Büroarbeit</w:t>
      </w:r>
      <w:r>
        <w:t xml:space="preserve"> auch</w:t>
      </w:r>
      <w:r w:rsidR="00471F68" w:rsidRPr="00471F68">
        <w:t xml:space="preserve"> nach Möglichkeit </w:t>
      </w:r>
      <w:r>
        <w:t>im Homeoffice auszuführen um Verkeh</w:t>
      </w:r>
      <w:r w:rsidR="00670D65">
        <w:t xml:space="preserve">rswege zur Arbeit zu reduzieren. </w:t>
      </w:r>
    </w:p>
    <w:p w14:paraId="675FB718" w14:textId="08841B72" w:rsidR="00471F68" w:rsidRPr="001E2205" w:rsidRDefault="00471F68" w:rsidP="001E2205">
      <w:pPr>
        <w:pStyle w:val="berschrift3"/>
        <w:spacing w:line="240" w:lineRule="auto"/>
        <w:rPr>
          <w:rFonts w:ascii="Titillium Web" w:hAnsi="Titillium Web"/>
          <w:color w:val="44546A" w:themeColor="text2"/>
          <w:sz w:val="22"/>
          <w:szCs w:val="22"/>
        </w:rPr>
      </w:pPr>
      <w:bookmarkStart w:id="22" w:name="_Toc39565442"/>
      <w:r w:rsidRPr="001E2205">
        <w:rPr>
          <w:rFonts w:ascii="Titillium Web" w:hAnsi="Titillium Web"/>
          <w:color w:val="44546A" w:themeColor="text2"/>
          <w:sz w:val="22"/>
          <w:szCs w:val="22"/>
        </w:rPr>
        <w:t>3.3.2 Arbeitsorganisation</w:t>
      </w:r>
      <w:bookmarkEnd w:id="22"/>
    </w:p>
    <w:p w14:paraId="5DFFFE31" w14:textId="58DA412A" w:rsidR="00471F68" w:rsidRPr="007B64B0" w:rsidRDefault="00471F68" w:rsidP="00F21822">
      <w:r w:rsidRPr="007B64B0">
        <w:t>Präsenz</w:t>
      </w:r>
      <w:r w:rsidR="007754FB">
        <w:t>termine</w:t>
      </w:r>
      <w:r w:rsidRPr="007B64B0">
        <w:t xml:space="preserve"> wie Besprechungen sollten auf das absolute Minimum reduziert und alternativ soweit wie möglich technische Alternativen wie Telefon- oder Videokonferenzen zur Verfügung gestellt werden. </w:t>
      </w:r>
      <w:r w:rsidRPr="007B64B0">
        <w:lastRenderedPageBreak/>
        <w:t>Sind Präsenz</w:t>
      </w:r>
      <w:r w:rsidR="007754FB">
        <w:t>termine</w:t>
      </w:r>
      <w:r w:rsidRPr="007B64B0">
        <w:t xml:space="preserve"> unbedingt notwendig, muss ausreichender Abstand </w:t>
      </w:r>
      <w:r w:rsidR="007754FB">
        <w:t xml:space="preserve">(1,50 Meter) </w:t>
      </w:r>
      <w:r w:rsidRPr="007B64B0">
        <w:t>zwischen den Teilnehme</w:t>
      </w:r>
      <w:r w:rsidR="007754FB">
        <w:t>nden</w:t>
      </w:r>
      <w:r w:rsidRPr="007B64B0">
        <w:t xml:space="preserve"> gegeben sein.</w:t>
      </w:r>
      <w:r w:rsidR="007754FB">
        <w:t xml:space="preserve"> Kann der Abstand nicht gewährleistet werden</w:t>
      </w:r>
      <w:r w:rsidR="007937C2">
        <w:t>,</w:t>
      </w:r>
      <w:r w:rsidR="007754FB">
        <w:t xml:space="preserve"> ist das Tragen eines Nasen-Mund-Schutzes verpflichtend. </w:t>
      </w:r>
    </w:p>
    <w:p w14:paraId="40C77BE9" w14:textId="6BE73663" w:rsidR="007754FB" w:rsidRDefault="00517AFC" w:rsidP="00F21822">
      <w:r>
        <w:t xml:space="preserve">Der </w:t>
      </w:r>
      <w:r w:rsidR="00471F68" w:rsidRPr="007B64B0">
        <w:t>Zutritt betriebsfremder Personen</w:t>
      </w:r>
      <w:r w:rsidR="007B64B0">
        <w:t xml:space="preserve"> </w:t>
      </w:r>
      <w:r>
        <w:t>ist</w:t>
      </w:r>
      <w:r w:rsidR="00471F68" w:rsidRPr="007B64B0">
        <w:t xml:space="preserve"> nach Möglichkeit auf ein Minimum zu beschränken. </w:t>
      </w:r>
      <w:r>
        <w:t>A</w:t>
      </w:r>
      <w:r w:rsidR="007B64B0">
        <w:t>nfragen sind grundsätzlich telefonisch abzuklären, sollten persönliche Kontakte notwendig sein, sind diese nur nach vorheriger telefonischer Absprache und fester Terminvorgabe unter Einhaltung der Schutzmaßnahmen (Sicherheitsabstand 1,5</w:t>
      </w:r>
      <w:r w:rsidR="000F4364">
        <w:t>0</w:t>
      </w:r>
      <w:r w:rsidR="007B64B0">
        <w:t xml:space="preserve"> Meter und </w:t>
      </w:r>
      <w:r w:rsidR="007754FB">
        <w:t xml:space="preserve">das </w:t>
      </w:r>
      <w:r w:rsidR="007B64B0">
        <w:t xml:space="preserve">Tragen des </w:t>
      </w:r>
      <w:r w:rsidR="00687FEE">
        <w:t>Nasen-Mund</w:t>
      </w:r>
      <w:r w:rsidR="007B64B0">
        <w:t xml:space="preserve">-Schutzes) möglich. </w:t>
      </w:r>
    </w:p>
    <w:p w14:paraId="7ACF2467" w14:textId="19B25A02" w:rsidR="00471F68" w:rsidRDefault="007754FB" w:rsidP="00F21822">
      <w:r>
        <w:t>Grundsätz</w:t>
      </w:r>
      <w:r w:rsidR="00517AFC">
        <w:t>lich haben sich alle</w:t>
      </w:r>
      <w:r>
        <w:t xml:space="preserve"> betriebsfremde</w:t>
      </w:r>
      <w:r w:rsidR="00517AFC">
        <w:t>n</w:t>
      </w:r>
      <w:r>
        <w:t xml:space="preserve"> Personen, die </w:t>
      </w:r>
      <w:r w:rsidR="00517AFC">
        <w:t xml:space="preserve">die Einrichtung </w:t>
      </w:r>
      <w:r>
        <w:t xml:space="preserve">nicht zu Ausbildungszwecken </w:t>
      </w:r>
      <w:r w:rsidR="00517AFC">
        <w:t>aufsuchen, sich im E</w:t>
      </w:r>
      <w:r>
        <w:t>mpfang</w:t>
      </w:r>
      <w:r w:rsidR="00517AFC">
        <w:t>sbereich</w:t>
      </w:r>
      <w:r>
        <w:t xml:space="preserve"> zu melden. </w:t>
      </w:r>
      <w:r w:rsidR="00517AFC">
        <w:t>Die</w:t>
      </w:r>
      <w:r>
        <w:t xml:space="preserve"> Kontaktdaten (Name, </w:t>
      </w:r>
      <w:r w:rsidR="0019161E">
        <w:t xml:space="preserve">Adresse, Erreichbarkeit) sowie </w:t>
      </w:r>
      <w:r w:rsidR="00471F68" w:rsidRPr="007B64B0">
        <w:t>Zeitpunkt des Betretens</w:t>
      </w:r>
      <w:r w:rsidR="0019161E">
        <w:t xml:space="preserve"> </w:t>
      </w:r>
      <w:r w:rsidR="00F50958">
        <w:t xml:space="preserve">und </w:t>
      </w:r>
      <w:r w:rsidR="00471F68" w:rsidRPr="007B64B0">
        <w:t xml:space="preserve">Verlassens des Betriebsgeländes </w:t>
      </w:r>
      <w:r w:rsidR="00517AFC">
        <w:t xml:space="preserve">sind </w:t>
      </w:r>
      <w:r w:rsidR="00471F68" w:rsidRPr="007B64B0">
        <w:t xml:space="preserve">zu dokumentieren. </w:t>
      </w:r>
      <w:r w:rsidR="00F50958">
        <w:t xml:space="preserve">Die Dokumentation dient zur Nachverfolgungszwecken von Infektionsketten und ist nach einem Monat vollständig zu löschen.  </w:t>
      </w:r>
      <w:r w:rsidR="00471F68" w:rsidRPr="007B64B0">
        <w:t>Betriebsfremde Personen müssen zusätzlich über die Maßnahmen informiert werden, die aktuell im Betrieb hinsichtlich des Infektionsschutzes vor SARS-CoV-2 gelten.</w:t>
      </w:r>
      <w:r w:rsidR="007B64B0">
        <w:t xml:space="preserve"> </w:t>
      </w:r>
    </w:p>
    <w:p w14:paraId="6621ED72" w14:textId="3C235C2B" w:rsidR="00471F68" w:rsidRPr="001E2205" w:rsidRDefault="00471F68" w:rsidP="001E2205">
      <w:pPr>
        <w:pStyle w:val="berschrift3"/>
        <w:spacing w:line="240" w:lineRule="auto"/>
        <w:rPr>
          <w:rFonts w:ascii="Titillium Web" w:hAnsi="Titillium Web"/>
          <w:color w:val="44546A" w:themeColor="text2"/>
          <w:sz w:val="22"/>
          <w:szCs w:val="22"/>
        </w:rPr>
      </w:pPr>
      <w:bookmarkStart w:id="23" w:name="_Toc39565443"/>
      <w:r w:rsidRPr="001E2205">
        <w:rPr>
          <w:rFonts w:ascii="Titillium Web" w:hAnsi="Titillium Web"/>
          <w:color w:val="44546A" w:themeColor="text2"/>
          <w:sz w:val="22"/>
          <w:szCs w:val="22"/>
        </w:rPr>
        <w:t>3.3.3 Arbeitszeit- und Pausenregelung</w:t>
      </w:r>
      <w:bookmarkEnd w:id="23"/>
    </w:p>
    <w:p w14:paraId="3E9F09D4" w14:textId="1E0CA5B7" w:rsidR="00471F68" w:rsidRPr="00670D65" w:rsidRDefault="00471F68" w:rsidP="00F21822">
      <w:r w:rsidRPr="00670D65">
        <w:t xml:space="preserve">Belegungsdichte von Arbeitsbereichen und gemeinsam genutzten Einrichtungen sind durch Maßnahmen zur zeitlichen Entzerrung (versetzte Arbeits- und Pausenzeiten, ggf. </w:t>
      </w:r>
      <w:r w:rsidR="00F50958">
        <w:t>Wechsel</w:t>
      </w:r>
      <w:r w:rsidRPr="00670D65">
        <w:t xml:space="preserve">betrieb) zu verringern. </w:t>
      </w:r>
      <w:r w:rsidR="002A4ADF">
        <w:t xml:space="preserve">Gemeinschaftsräume </w:t>
      </w:r>
      <w:r w:rsidR="0019161E">
        <w:t>sind idealerweise einzeln zu betreten.</w:t>
      </w:r>
    </w:p>
    <w:p w14:paraId="114B2D49" w14:textId="663E0F15" w:rsidR="0019161E" w:rsidRDefault="00471F68" w:rsidP="00F21822">
      <w:r w:rsidRPr="00670D65">
        <w:t xml:space="preserve">Bei der Aufstellung von </w:t>
      </w:r>
      <w:r w:rsidR="00F50958">
        <w:t>Wechsel</w:t>
      </w:r>
      <w:r w:rsidRPr="00670D65">
        <w:t>plänen ist zur weiteren Verringerung innerbetrieblicher Personenkontakte darauf zu achten, möglichst dieselben Personen zu gemeinsamen Schichten einzuteilen. Bei Beginn und Ende der Arbeitszeit ist durch geeignete organisatorische Maßnahmen zu vermeiden, dass es zu einem engen Zusammentreffen mehrerer Beschäfti</w:t>
      </w:r>
      <w:r w:rsidR="00670D65">
        <w:t xml:space="preserve">gter </w:t>
      </w:r>
      <w:r w:rsidRPr="00670D65">
        <w:t>kommt</w:t>
      </w:r>
      <w:r w:rsidR="00670D65">
        <w:t>.</w:t>
      </w:r>
    </w:p>
    <w:p w14:paraId="08539D42" w14:textId="03DC1B5D" w:rsidR="00471F68" w:rsidRDefault="00471F68" w:rsidP="00F21822"/>
    <w:p w14:paraId="0AC4A627" w14:textId="73F7B357" w:rsidR="00D371C1" w:rsidRPr="00084E6B" w:rsidRDefault="00AF1C9D" w:rsidP="00AF1C9D">
      <w:pPr>
        <w:pStyle w:val="berschrift1"/>
        <w:spacing w:line="360" w:lineRule="auto"/>
        <w:rPr>
          <w:b/>
          <w:color w:val="44546A" w:themeColor="text2"/>
        </w:rPr>
      </w:pPr>
      <w:bookmarkStart w:id="24" w:name="_Toc39565444"/>
      <w:r w:rsidRPr="00084E6B">
        <w:rPr>
          <w:b/>
          <w:color w:val="44546A" w:themeColor="text2"/>
        </w:rPr>
        <w:t xml:space="preserve">4. </w:t>
      </w:r>
      <w:r w:rsidR="00D371C1" w:rsidRPr="00084E6B">
        <w:rPr>
          <w:b/>
          <w:color w:val="44546A" w:themeColor="text2"/>
        </w:rPr>
        <w:t>Basishygiene</w:t>
      </w:r>
      <w:bookmarkEnd w:id="24"/>
      <w:r w:rsidR="00D371C1" w:rsidRPr="00084E6B">
        <w:rPr>
          <w:b/>
          <w:color w:val="44546A" w:themeColor="text2"/>
        </w:rPr>
        <w:t xml:space="preserve"> </w:t>
      </w:r>
    </w:p>
    <w:p w14:paraId="3526C9FC" w14:textId="17E05D55" w:rsidR="00D371C1" w:rsidRPr="00084E6B" w:rsidRDefault="00D371C1" w:rsidP="00AF1C9D">
      <w:pPr>
        <w:pStyle w:val="berschrift2"/>
        <w:spacing w:line="360" w:lineRule="auto"/>
        <w:rPr>
          <w:b/>
          <w:color w:val="44546A" w:themeColor="text2"/>
        </w:rPr>
      </w:pPr>
      <w:bookmarkStart w:id="25" w:name="_Toc39565445"/>
      <w:r w:rsidRPr="00084E6B">
        <w:rPr>
          <w:b/>
          <w:color w:val="44546A" w:themeColor="text2"/>
        </w:rPr>
        <w:t>4.1 Reinigung und Desinfektion</w:t>
      </w:r>
      <w:bookmarkEnd w:id="25"/>
      <w:r w:rsidRPr="00084E6B">
        <w:rPr>
          <w:b/>
          <w:color w:val="44546A" w:themeColor="text2"/>
        </w:rPr>
        <w:t xml:space="preserve"> </w:t>
      </w:r>
    </w:p>
    <w:p w14:paraId="2C1F9BA5" w14:textId="3364CD25" w:rsidR="00D371C1" w:rsidRPr="001E2205" w:rsidRDefault="00D371C1" w:rsidP="001E2205">
      <w:pPr>
        <w:pStyle w:val="berschrift3"/>
        <w:spacing w:line="240" w:lineRule="auto"/>
        <w:rPr>
          <w:rFonts w:ascii="Titillium Web" w:hAnsi="Titillium Web"/>
          <w:color w:val="44546A" w:themeColor="text2"/>
          <w:sz w:val="22"/>
          <w:szCs w:val="22"/>
        </w:rPr>
      </w:pPr>
      <w:bookmarkStart w:id="26" w:name="_Toc39565446"/>
      <w:r w:rsidRPr="001E2205">
        <w:rPr>
          <w:rFonts w:ascii="Titillium Web" w:hAnsi="Titillium Web"/>
          <w:color w:val="44546A" w:themeColor="text2"/>
          <w:sz w:val="22"/>
          <w:szCs w:val="22"/>
        </w:rPr>
        <w:t>4.1.1 Allgemeines</w:t>
      </w:r>
      <w:bookmarkEnd w:id="26"/>
      <w:r w:rsidRPr="001E2205">
        <w:rPr>
          <w:rFonts w:ascii="Titillium Web" w:hAnsi="Titillium Web"/>
          <w:color w:val="44546A" w:themeColor="text2"/>
          <w:sz w:val="22"/>
          <w:szCs w:val="22"/>
        </w:rPr>
        <w:t xml:space="preserve"> </w:t>
      </w:r>
    </w:p>
    <w:p w14:paraId="53A2CD46" w14:textId="77777777" w:rsidR="00D371C1" w:rsidRPr="00AF1C9D" w:rsidRDefault="00D371C1" w:rsidP="00F21822">
      <w:r w:rsidRPr="00AF1C9D">
        <w:t xml:space="preserve">Eine gründliche und regelmäßige Reinigung, insbesondere der Hände sowie häufig benutzter Flächen und Gegenstände, ist eine wichtige Grundlage für einen guten Hygienestatus. </w:t>
      </w:r>
      <w:r w:rsidR="00AF1C9D">
        <w:t xml:space="preserve"> </w:t>
      </w:r>
      <w:r w:rsidRPr="00AF1C9D">
        <w:t xml:space="preserve">Eine Desinfektion ist dort notwendig, wo Krankheitserreger auftreten können und Kontaktmöglichkeiten zur Weiterverbreitung bestehen. Dies trifft unter anderem zu bei Verunreinigungen mit Erbrochenem, Stuhl und Urin sowie mit Blut. </w:t>
      </w:r>
    </w:p>
    <w:p w14:paraId="51D1FF50" w14:textId="6FAEFD4E" w:rsidR="00AF1C9D" w:rsidRPr="00AF1C9D" w:rsidRDefault="00D371C1" w:rsidP="00F21822">
      <w:r w:rsidRPr="00AF1C9D">
        <w:t>Die Desinfektionsmittel sind nach dem Anwendungsgebiet aus der Liste der Deutschen Gesellschaft für Hygiene und Mikrobiologie (DGHM) mit der entsprechenden Konzentratio</w:t>
      </w:r>
      <w:r w:rsidR="000B7B2E">
        <w:t xml:space="preserve">n und Einwirkzeit auszuwählen. </w:t>
      </w:r>
      <w:r w:rsidRPr="00AF1C9D">
        <w:t xml:space="preserve">Beim Auftreten meldepflichtiger übertragbarer Krankheiten oder bei begründetem Verdacht einer solchen </w:t>
      </w:r>
      <w:r w:rsidRPr="00AF1C9D">
        <w:lastRenderedPageBreak/>
        <w:t>sind spezielle antiepidemische Maßnahmen notwendig, die vom zuständigen Gesundhe</w:t>
      </w:r>
      <w:r w:rsidR="00AF1C9D">
        <w:t>itsamt veranlasst bzw. mit die</w:t>
      </w:r>
      <w:r w:rsidRPr="00AF1C9D">
        <w:t xml:space="preserve">sem abgestimmt werden und nicht Gegenstand dieser Ausführungen sind. </w:t>
      </w:r>
    </w:p>
    <w:p w14:paraId="003C7915" w14:textId="7D5E4EF7" w:rsidR="00D371C1" w:rsidRPr="001E2205" w:rsidRDefault="00D371C1" w:rsidP="001E2205">
      <w:pPr>
        <w:pStyle w:val="berschrift3"/>
        <w:spacing w:line="240" w:lineRule="auto"/>
        <w:rPr>
          <w:rFonts w:ascii="Titillium Web" w:hAnsi="Titillium Web"/>
          <w:color w:val="44546A" w:themeColor="text2"/>
          <w:sz w:val="22"/>
          <w:szCs w:val="22"/>
        </w:rPr>
      </w:pPr>
      <w:bookmarkStart w:id="27" w:name="_Toc39565447"/>
      <w:r w:rsidRPr="001E2205">
        <w:rPr>
          <w:rFonts w:ascii="Titillium Web" w:hAnsi="Titillium Web"/>
          <w:color w:val="44546A" w:themeColor="text2"/>
          <w:sz w:val="22"/>
          <w:szCs w:val="22"/>
        </w:rPr>
        <w:t>4.1.2 Händehygiene</w:t>
      </w:r>
      <w:bookmarkEnd w:id="27"/>
      <w:r w:rsidRPr="001E2205">
        <w:rPr>
          <w:rFonts w:ascii="Titillium Web" w:hAnsi="Titillium Web"/>
          <w:color w:val="44546A" w:themeColor="text2"/>
          <w:sz w:val="22"/>
          <w:szCs w:val="22"/>
        </w:rPr>
        <w:t xml:space="preserve"> </w:t>
      </w:r>
    </w:p>
    <w:p w14:paraId="64A24172" w14:textId="1B0AB548" w:rsidR="00D371C1" w:rsidRPr="00AF1C9D" w:rsidRDefault="00D371C1" w:rsidP="00F21822">
      <w:r w:rsidRPr="00AF1C9D">
        <w:t>Hände sind durch ihre vielfältigen Kontakte mit der Umgebung und anderen Menschen Hauptüber</w:t>
      </w:r>
      <w:r w:rsidR="00AF1C9D">
        <w:t xml:space="preserve">träger von Krankheitserregern. </w:t>
      </w:r>
      <w:r w:rsidRPr="00AF1C9D">
        <w:t>Händewaschen und Händedesinfektion gehören zu den wichtigsten Maßnahmen zur Verhütung und Bekämpf</w:t>
      </w:r>
      <w:r w:rsidR="000A2392">
        <w:t xml:space="preserve">ung von Infektionskrankheiten. </w:t>
      </w:r>
      <w:r w:rsidRPr="00AF1C9D">
        <w:t xml:space="preserve">Voraussetzung sind ausreichend Handwaschplätze, ausgestattet mit fließendem kalten Wasser sowie Spendern für Flüssigseife und für Einmalhandtücher sowie Abwurfbehälter für Handtücher. </w:t>
      </w:r>
    </w:p>
    <w:p w14:paraId="3FB5B145" w14:textId="15ECB80C" w:rsidR="00D371C1" w:rsidRPr="00AF1C9D" w:rsidRDefault="00D371C1" w:rsidP="00F21822">
      <w:r w:rsidRPr="00AF1C9D">
        <w:t>In Bereichen, in denen erhöhte Anforderungen an die Hygiene zu stellen bzw. weitergehende Vorschriften zu beachten sind, kann die zusätzliche Bereitstellung von Warmwasser vonnöten sein. D</w:t>
      </w:r>
      <w:r w:rsidR="00AF1C9D">
        <w:t>ieses kann z.B.</w:t>
      </w:r>
      <w:r w:rsidRPr="00AF1C9D">
        <w:t xml:space="preserve"> in Erste-Hilfe-Räumen und in Duschbereichen (Umkleiden) von Belang sein. </w:t>
      </w:r>
    </w:p>
    <w:p w14:paraId="385E6B66" w14:textId="77777777" w:rsidR="00D371C1" w:rsidRPr="00AF1C9D" w:rsidRDefault="00D371C1" w:rsidP="00F21822">
      <w:r w:rsidRPr="00AF1C9D">
        <w:t xml:space="preserve">Händewaschen ist durchzuführen vom Personal, von den Schulungsteilnehmern, Prüflingen und den Besuchern: </w:t>
      </w:r>
    </w:p>
    <w:p w14:paraId="194AFEE6" w14:textId="77777777" w:rsidR="00AF1C9D" w:rsidRPr="00F21822" w:rsidRDefault="00D371C1" w:rsidP="00F21822">
      <w:pPr>
        <w:pStyle w:val="Default"/>
        <w:numPr>
          <w:ilvl w:val="0"/>
          <w:numId w:val="3"/>
        </w:numPr>
        <w:rPr>
          <w:rFonts w:ascii="Titillium Web" w:hAnsi="Titillium Web"/>
          <w:sz w:val="22"/>
          <w:szCs w:val="22"/>
        </w:rPr>
      </w:pPr>
      <w:r w:rsidRPr="00F21822">
        <w:rPr>
          <w:rFonts w:ascii="Titillium Web" w:hAnsi="Titillium Web"/>
          <w:sz w:val="22"/>
          <w:szCs w:val="22"/>
        </w:rPr>
        <w:t>nach jeder Verschmutzung, nach Reinigungsarbeiten</w:t>
      </w:r>
      <w:r w:rsidR="00AF1C9D" w:rsidRPr="00F21822">
        <w:rPr>
          <w:rFonts w:ascii="Titillium Web" w:hAnsi="Titillium Web"/>
          <w:sz w:val="22"/>
          <w:szCs w:val="22"/>
        </w:rPr>
        <w:t>,</w:t>
      </w:r>
      <w:r w:rsidRPr="00F21822">
        <w:rPr>
          <w:rFonts w:ascii="Titillium Web" w:hAnsi="Titillium Web"/>
          <w:sz w:val="22"/>
          <w:szCs w:val="22"/>
        </w:rPr>
        <w:t xml:space="preserve"> </w:t>
      </w:r>
    </w:p>
    <w:p w14:paraId="6D218509" w14:textId="77777777" w:rsidR="00AF1C9D" w:rsidRPr="00F21822" w:rsidRDefault="00D371C1" w:rsidP="00F21822">
      <w:pPr>
        <w:pStyle w:val="Default"/>
        <w:numPr>
          <w:ilvl w:val="0"/>
          <w:numId w:val="3"/>
        </w:numPr>
        <w:rPr>
          <w:rFonts w:ascii="Titillium Web" w:hAnsi="Titillium Web"/>
          <w:sz w:val="22"/>
          <w:szCs w:val="22"/>
        </w:rPr>
      </w:pPr>
      <w:r w:rsidRPr="00F21822">
        <w:rPr>
          <w:rFonts w:ascii="Titillium Web" w:hAnsi="Titillium Web"/>
          <w:sz w:val="22"/>
          <w:szCs w:val="22"/>
        </w:rPr>
        <w:t>nach Toilettenbenutzung</w:t>
      </w:r>
      <w:r w:rsidR="00AF1C9D" w:rsidRPr="00F21822">
        <w:rPr>
          <w:rFonts w:ascii="Titillium Web" w:hAnsi="Titillium Web"/>
          <w:sz w:val="22"/>
          <w:szCs w:val="22"/>
        </w:rPr>
        <w:t>,</w:t>
      </w:r>
      <w:r w:rsidRPr="00F21822">
        <w:rPr>
          <w:rFonts w:ascii="Titillium Web" w:hAnsi="Titillium Web"/>
          <w:sz w:val="22"/>
          <w:szCs w:val="22"/>
        </w:rPr>
        <w:t xml:space="preserve"> </w:t>
      </w:r>
    </w:p>
    <w:p w14:paraId="39F98F0C" w14:textId="77777777" w:rsidR="00AF1C9D" w:rsidRPr="00F21822" w:rsidRDefault="00D371C1" w:rsidP="00F21822">
      <w:pPr>
        <w:pStyle w:val="Default"/>
        <w:numPr>
          <w:ilvl w:val="0"/>
          <w:numId w:val="3"/>
        </w:numPr>
        <w:rPr>
          <w:rFonts w:ascii="Titillium Web" w:hAnsi="Titillium Web"/>
          <w:sz w:val="22"/>
          <w:szCs w:val="22"/>
        </w:rPr>
      </w:pPr>
      <w:r w:rsidRPr="00F21822">
        <w:rPr>
          <w:rFonts w:ascii="Titillium Web" w:hAnsi="Titillium Web"/>
          <w:sz w:val="22"/>
          <w:szCs w:val="22"/>
        </w:rPr>
        <w:t>vor dem Umgang mit Lebensmitteln</w:t>
      </w:r>
      <w:r w:rsidR="00AF1C9D" w:rsidRPr="00F21822">
        <w:rPr>
          <w:rFonts w:ascii="Titillium Web" w:hAnsi="Titillium Web"/>
          <w:sz w:val="22"/>
          <w:szCs w:val="22"/>
        </w:rPr>
        <w:t xml:space="preserve"> und</w:t>
      </w:r>
    </w:p>
    <w:p w14:paraId="35F1A50A" w14:textId="7167B92C" w:rsidR="00D371C1" w:rsidRPr="00F21822" w:rsidRDefault="00D371C1" w:rsidP="00F21822">
      <w:pPr>
        <w:pStyle w:val="Default"/>
        <w:numPr>
          <w:ilvl w:val="0"/>
          <w:numId w:val="3"/>
        </w:numPr>
        <w:rPr>
          <w:rFonts w:ascii="Titillium Web" w:hAnsi="Titillium Web"/>
          <w:sz w:val="22"/>
          <w:szCs w:val="22"/>
        </w:rPr>
      </w:pPr>
      <w:r w:rsidRPr="00F21822">
        <w:rPr>
          <w:rFonts w:ascii="Titillium Web" w:hAnsi="Titillium Web"/>
          <w:sz w:val="22"/>
          <w:szCs w:val="22"/>
        </w:rPr>
        <w:t>vor der Einnahme von Speisen</w:t>
      </w:r>
      <w:r w:rsidR="00AF1C9D" w:rsidRPr="00F21822">
        <w:rPr>
          <w:rFonts w:ascii="Titillium Web" w:hAnsi="Titillium Web"/>
          <w:sz w:val="22"/>
          <w:szCs w:val="22"/>
        </w:rPr>
        <w:t>.</w:t>
      </w:r>
      <w:r w:rsidR="00F21822">
        <w:rPr>
          <w:rFonts w:ascii="Titillium Web" w:hAnsi="Titillium Web"/>
          <w:sz w:val="22"/>
          <w:szCs w:val="22"/>
        </w:rPr>
        <w:br/>
      </w:r>
    </w:p>
    <w:p w14:paraId="125536C5" w14:textId="77777777" w:rsidR="00D371C1" w:rsidRPr="00AF1C9D" w:rsidRDefault="00D371C1" w:rsidP="00F21822">
      <w:r w:rsidRPr="00AF1C9D">
        <w:t xml:space="preserve">Händedesinfektion ist erforderlich für Personal, Schulungsteilnehmer*innen, Prüflinge und Besucher*innen nach Kontakt mit Blut, Erbrochenem, Stuhl, Urin und anderen Körperausscheidungen. Dies gilt auch dann, wenn Handschuhe getragen werden. In diesem Fall erfolgt die Händedesinfektion nach Ablegen der Handschuhe. </w:t>
      </w:r>
    </w:p>
    <w:p w14:paraId="6A22D7A4" w14:textId="6D15321C" w:rsidR="00D371C1" w:rsidRPr="00AF1C9D" w:rsidRDefault="00AF1C9D" w:rsidP="00F21822">
      <w:r>
        <w:t xml:space="preserve">Ca. 3 bis </w:t>
      </w:r>
      <w:r w:rsidR="00D371C1" w:rsidRPr="00AF1C9D">
        <w:t xml:space="preserve">5 ml des Händedesinfektionsmittels sind in die trockenen Hände einzureiben, dabei müssen Fingerkuppen und </w:t>
      </w:r>
      <w:r w:rsidR="00602A82">
        <w:t>-</w:t>
      </w:r>
      <w:r w:rsidR="0019161E">
        <w:t>Z</w:t>
      </w:r>
      <w:r w:rsidR="00D371C1" w:rsidRPr="00AF1C9D">
        <w:t xml:space="preserve">wischenräume, Daumen und Nagelfalze berücksichtigt werden. Während der vom Hersteller des Präparates vorgeschriebenen Einwirkzeit (meist ½ Minute) müssen die Hände vom Desinfektionsmittel feucht gehalten werden. </w:t>
      </w:r>
    </w:p>
    <w:p w14:paraId="55B791A2" w14:textId="69BDC95F" w:rsidR="00D371C1" w:rsidRPr="00AF1C9D" w:rsidRDefault="00D371C1" w:rsidP="00F21822">
      <w:r w:rsidRPr="00AF1C9D">
        <w:t xml:space="preserve">Grobe Verschmutzungen (z. B. Ausscheidungen) sind vor der Desinfektion mit Zellstoff bzw. </w:t>
      </w:r>
      <w:r w:rsidR="0019161E" w:rsidRPr="00AF1C9D">
        <w:t>einem desinfektionsmittelgetränkten Einmalhandtuch</w:t>
      </w:r>
      <w:r w:rsidRPr="00AF1C9D">
        <w:t xml:space="preserve"> zu entfernen. </w:t>
      </w:r>
    </w:p>
    <w:p w14:paraId="6F3206A1" w14:textId="2AF4B076" w:rsidR="00AF1C9D" w:rsidRPr="00AF1C9D" w:rsidRDefault="00D371C1" w:rsidP="00F21822">
      <w:r w:rsidRPr="00AF1C9D">
        <w:t>Die Verwendung von Einmalhandschuhen ist bei vorhersehbarem Kontakt mit Ausscheidungen, Blut usw. zu empfehlen. Ein Spender mit einem geeigneten Händedesinfektionsmittel sollte</w:t>
      </w:r>
      <w:r w:rsidR="00AF1C9D">
        <w:t xml:space="preserve"> jederzeit nutzbar bereitstehen.</w:t>
      </w:r>
    </w:p>
    <w:p w14:paraId="6D353583" w14:textId="393A4F8F" w:rsidR="00D371C1" w:rsidRPr="001E2205" w:rsidRDefault="00D371C1" w:rsidP="001E2205">
      <w:pPr>
        <w:pStyle w:val="berschrift3"/>
        <w:spacing w:line="240" w:lineRule="auto"/>
        <w:rPr>
          <w:rFonts w:ascii="Titillium Web" w:hAnsi="Titillium Web"/>
          <w:color w:val="44546A" w:themeColor="text2"/>
          <w:sz w:val="22"/>
          <w:szCs w:val="22"/>
        </w:rPr>
      </w:pPr>
      <w:bookmarkStart w:id="28" w:name="_Toc39565448"/>
      <w:r w:rsidRPr="001E2205">
        <w:rPr>
          <w:rFonts w:ascii="Titillium Web" w:hAnsi="Titillium Web"/>
          <w:color w:val="44546A" w:themeColor="text2"/>
          <w:sz w:val="22"/>
          <w:szCs w:val="22"/>
        </w:rPr>
        <w:t>4.1.3 Behandlung von Flächen und Gegenständen</w:t>
      </w:r>
      <w:bookmarkEnd w:id="28"/>
      <w:r w:rsidRPr="001E2205">
        <w:rPr>
          <w:rFonts w:ascii="Titillium Web" w:hAnsi="Titillium Web"/>
          <w:color w:val="44546A" w:themeColor="text2"/>
          <w:sz w:val="22"/>
          <w:szCs w:val="22"/>
        </w:rPr>
        <w:t xml:space="preserve"> </w:t>
      </w:r>
    </w:p>
    <w:p w14:paraId="2D52D981" w14:textId="5B38A4CE" w:rsidR="00D371C1" w:rsidRPr="00BE4CA5" w:rsidRDefault="00D371C1" w:rsidP="00F21822">
      <w:r w:rsidRPr="00BE4CA5">
        <w:t>Für die unterschiedlichen Bereiche</w:t>
      </w:r>
      <w:r w:rsidR="00602A82" w:rsidRPr="00BE4CA5">
        <w:t xml:space="preserve"> sind </w:t>
      </w:r>
      <w:r w:rsidR="0019161E" w:rsidRPr="00BE4CA5">
        <w:t>entsprechende Reinigungs</w:t>
      </w:r>
      <w:r w:rsidRPr="00BE4CA5">
        <w:t>- und Desinfektionspl</w:t>
      </w:r>
      <w:r w:rsidR="00602A82" w:rsidRPr="00BE4CA5">
        <w:t>äne</w:t>
      </w:r>
      <w:r w:rsidRPr="00BE4CA5">
        <w:t xml:space="preserve"> </w:t>
      </w:r>
      <w:r w:rsidR="00602A82" w:rsidRPr="00BE4CA5">
        <w:t>zu erstellen. Diese beinhalten:</w:t>
      </w:r>
    </w:p>
    <w:p w14:paraId="5E6EE787" w14:textId="77777777" w:rsidR="00AF1C9D" w:rsidRPr="00F21822" w:rsidRDefault="00D371C1" w:rsidP="00F21822">
      <w:pPr>
        <w:pStyle w:val="Default"/>
        <w:numPr>
          <w:ilvl w:val="0"/>
          <w:numId w:val="4"/>
        </w:numPr>
        <w:rPr>
          <w:rFonts w:ascii="Titillium Web" w:hAnsi="Titillium Web"/>
          <w:sz w:val="22"/>
          <w:szCs w:val="22"/>
        </w:rPr>
      </w:pPr>
      <w:r w:rsidRPr="00F21822">
        <w:rPr>
          <w:rFonts w:ascii="Titillium Web" w:hAnsi="Titillium Web"/>
          <w:sz w:val="22"/>
          <w:szCs w:val="22"/>
        </w:rPr>
        <w:lastRenderedPageBreak/>
        <w:t xml:space="preserve">Konkrete Festlegungen zur Reinigung und ggf. zur Desinfektion der Räume und des Inventars sowie von Gegenständen (Vorgehensweise, Rhythmus, Mittel, Aufbereitung der Reinigungsutensilien, Benennung der Verantwortlichen). </w:t>
      </w:r>
    </w:p>
    <w:p w14:paraId="5FB512B0" w14:textId="4598E850" w:rsidR="00D371C1" w:rsidRPr="00F21822" w:rsidRDefault="00D371C1" w:rsidP="00F21822">
      <w:pPr>
        <w:pStyle w:val="Default"/>
        <w:numPr>
          <w:ilvl w:val="0"/>
          <w:numId w:val="4"/>
        </w:numPr>
        <w:rPr>
          <w:rFonts w:ascii="Titillium Web" w:hAnsi="Titillium Web"/>
          <w:sz w:val="22"/>
          <w:szCs w:val="22"/>
        </w:rPr>
      </w:pPr>
      <w:r w:rsidRPr="00F21822">
        <w:rPr>
          <w:rFonts w:ascii="Titillium Web" w:hAnsi="Titillium Web"/>
          <w:sz w:val="22"/>
          <w:szCs w:val="22"/>
        </w:rPr>
        <w:t>Aussagen</w:t>
      </w:r>
      <w:r w:rsidR="00AF1C9D" w:rsidRPr="00F21822">
        <w:rPr>
          <w:rFonts w:ascii="Titillium Web" w:hAnsi="Titillium Web"/>
          <w:sz w:val="22"/>
          <w:szCs w:val="22"/>
        </w:rPr>
        <w:t xml:space="preserve"> zur Überwachung/Eigenkontrolle.</w:t>
      </w:r>
      <w:r w:rsidR="00F21822">
        <w:rPr>
          <w:rFonts w:ascii="Titillium Web" w:hAnsi="Titillium Web"/>
          <w:sz w:val="22"/>
          <w:szCs w:val="22"/>
        </w:rPr>
        <w:br/>
      </w:r>
    </w:p>
    <w:p w14:paraId="5384DA9D" w14:textId="39B2B869" w:rsidR="00287EC4" w:rsidRPr="007937C2" w:rsidRDefault="00602A82" w:rsidP="00F21822">
      <w:r w:rsidRPr="00BE4CA5">
        <w:t xml:space="preserve">Die entsprechenden Reinigungs- und Desinfektionspläne sind bei Bedarf jederzeit einsehbar. </w:t>
      </w:r>
    </w:p>
    <w:p w14:paraId="2AC3A84E" w14:textId="50221A10" w:rsidR="00D371C1" w:rsidRPr="001E2205" w:rsidRDefault="00D371C1" w:rsidP="001E2205">
      <w:pPr>
        <w:pStyle w:val="berschrift3"/>
        <w:spacing w:line="240" w:lineRule="auto"/>
        <w:rPr>
          <w:rFonts w:ascii="Titillium Web" w:hAnsi="Titillium Web"/>
          <w:color w:val="44546A" w:themeColor="text2"/>
          <w:sz w:val="22"/>
          <w:szCs w:val="22"/>
        </w:rPr>
      </w:pPr>
      <w:bookmarkStart w:id="29" w:name="_Toc39565449"/>
      <w:r w:rsidRPr="001E2205">
        <w:rPr>
          <w:rFonts w:ascii="Titillium Web" w:hAnsi="Titillium Web"/>
          <w:color w:val="44546A" w:themeColor="text2"/>
          <w:sz w:val="22"/>
          <w:szCs w:val="22"/>
        </w:rPr>
        <w:t>4.1.4 Frequenz von Reinigungsmaßnahmen</w:t>
      </w:r>
      <w:bookmarkEnd w:id="29"/>
      <w:r w:rsidRPr="001E2205">
        <w:rPr>
          <w:rFonts w:ascii="Titillium Web" w:hAnsi="Titillium Web"/>
          <w:color w:val="44546A" w:themeColor="text2"/>
          <w:sz w:val="22"/>
          <w:szCs w:val="22"/>
        </w:rPr>
        <w:t xml:space="preserve"> </w:t>
      </w:r>
    </w:p>
    <w:p w14:paraId="0551DB62" w14:textId="09133B89" w:rsidR="007937C2" w:rsidRPr="00AF1C9D" w:rsidRDefault="00D371C1" w:rsidP="00F21822">
      <w:r w:rsidRPr="00BE4CA5">
        <w:t xml:space="preserve">Die Reinigungsfrequenz orientiert sich an der speziellen Nutzungsart und -intensität. </w:t>
      </w:r>
    </w:p>
    <w:p w14:paraId="749C8B7A" w14:textId="3E14D86A" w:rsidR="00D371C1" w:rsidRPr="001E2205" w:rsidRDefault="00D371C1" w:rsidP="001E2205">
      <w:pPr>
        <w:pStyle w:val="berschrift3"/>
        <w:spacing w:line="240" w:lineRule="auto"/>
        <w:rPr>
          <w:rFonts w:ascii="Titillium Web" w:hAnsi="Titillium Web"/>
          <w:color w:val="44546A" w:themeColor="text2"/>
          <w:sz w:val="22"/>
          <w:szCs w:val="22"/>
        </w:rPr>
      </w:pPr>
      <w:bookmarkStart w:id="30" w:name="_Toc39565450"/>
      <w:r w:rsidRPr="001E2205">
        <w:rPr>
          <w:rFonts w:ascii="Titillium Web" w:hAnsi="Titillium Web"/>
          <w:color w:val="44546A" w:themeColor="text2"/>
          <w:sz w:val="22"/>
          <w:szCs w:val="22"/>
        </w:rPr>
        <w:t>4.1.5 Ruhezonen / Sitzecken</w:t>
      </w:r>
      <w:bookmarkEnd w:id="30"/>
      <w:r w:rsidRPr="001E2205">
        <w:rPr>
          <w:rFonts w:ascii="Titillium Web" w:hAnsi="Titillium Web"/>
          <w:color w:val="44546A" w:themeColor="text2"/>
          <w:sz w:val="22"/>
          <w:szCs w:val="22"/>
        </w:rPr>
        <w:t xml:space="preserve"> </w:t>
      </w:r>
    </w:p>
    <w:p w14:paraId="6DC7F341" w14:textId="6F3FCB3D" w:rsidR="00287EC4" w:rsidRPr="00AF1C9D" w:rsidRDefault="00602A82" w:rsidP="00F21822">
      <w:r>
        <w:t xml:space="preserve">Ruhezonen und Sitzecken sind durch entsprechende Absperrungen stillzulegen. </w:t>
      </w:r>
    </w:p>
    <w:p w14:paraId="2ACBED5D" w14:textId="12ACCD6A" w:rsidR="00D371C1" w:rsidRPr="00084E6B" w:rsidRDefault="00D371C1" w:rsidP="00287EC4">
      <w:pPr>
        <w:pStyle w:val="berschrift2"/>
        <w:spacing w:line="360" w:lineRule="auto"/>
        <w:rPr>
          <w:b/>
          <w:color w:val="44546A" w:themeColor="text2"/>
        </w:rPr>
      </w:pPr>
      <w:bookmarkStart w:id="31" w:name="_Toc39565451"/>
      <w:r w:rsidRPr="00084E6B">
        <w:rPr>
          <w:b/>
          <w:color w:val="44546A" w:themeColor="text2"/>
        </w:rPr>
        <w:t>4.2 Lebensmittelhygiene</w:t>
      </w:r>
      <w:bookmarkEnd w:id="31"/>
      <w:r w:rsidRPr="00084E6B">
        <w:rPr>
          <w:b/>
          <w:color w:val="44546A" w:themeColor="text2"/>
        </w:rPr>
        <w:t xml:space="preserve"> </w:t>
      </w:r>
    </w:p>
    <w:p w14:paraId="286E6026" w14:textId="0B1B4DFC" w:rsidR="00287EC4" w:rsidRDefault="00D371C1" w:rsidP="00F21822">
      <w:r w:rsidRPr="00AF1C9D">
        <w:t xml:space="preserve">Zur Vermeidung von lebensmittelbedingten Erkrankungen und Erkrankungshäufungen müssen an den Umgang mit Lebensmitteln besonders hohe </w:t>
      </w:r>
      <w:r w:rsidR="000A2392">
        <w:t xml:space="preserve">Anforderungen gestellt werden. </w:t>
      </w:r>
      <w:r w:rsidRPr="00AF1C9D">
        <w:t>Die Vorgaben der Lebensmittelhygiene-Verordnung und anderer lebensmittelrechtliche</w:t>
      </w:r>
      <w:r w:rsidR="00287EC4">
        <w:t>r Vorschriften sind einzuhalten.</w:t>
      </w:r>
    </w:p>
    <w:p w14:paraId="2D6B61FB" w14:textId="1F56CF19" w:rsidR="00D371C1" w:rsidRPr="001E2205" w:rsidRDefault="00287EC4" w:rsidP="001E2205">
      <w:pPr>
        <w:pStyle w:val="berschrift3"/>
        <w:spacing w:line="240" w:lineRule="auto"/>
        <w:rPr>
          <w:rFonts w:ascii="Titillium Web" w:hAnsi="Titillium Web"/>
          <w:color w:val="44546A" w:themeColor="text2"/>
          <w:sz w:val="22"/>
          <w:szCs w:val="22"/>
        </w:rPr>
      </w:pPr>
      <w:bookmarkStart w:id="32" w:name="_Toc39565452"/>
      <w:r w:rsidRPr="001E2205">
        <w:rPr>
          <w:rFonts w:ascii="Titillium Web" w:hAnsi="Titillium Web"/>
          <w:color w:val="44546A" w:themeColor="text2"/>
          <w:sz w:val="22"/>
          <w:szCs w:val="22"/>
        </w:rPr>
        <w:t>4.2.1</w:t>
      </w:r>
      <w:r w:rsidR="00D371C1" w:rsidRPr="001E2205">
        <w:rPr>
          <w:rFonts w:ascii="Titillium Web" w:hAnsi="Titillium Web"/>
          <w:color w:val="44546A" w:themeColor="text2"/>
          <w:sz w:val="22"/>
          <w:szCs w:val="22"/>
        </w:rPr>
        <w:t xml:space="preserve"> Mitgebrachte Lebensmittel</w:t>
      </w:r>
      <w:bookmarkEnd w:id="32"/>
      <w:r w:rsidR="00D371C1" w:rsidRPr="001E2205">
        <w:rPr>
          <w:rFonts w:ascii="Titillium Web" w:hAnsi="Titillium Web"/>
          <w:color w:val="44546A" w:themeColor="text2"/>
          <w:sz w:val="22"/>
          <w:szCs w:val="22"/>
        </w:rPr>
        <w:t xml:space="preserve"> </w:t>
      </w:r>
    </w:p>
    <w:p w14:paraId="3D4C3B5F" w14:textId="11739F93" w:rsidR="00084E6B" w:rsidRPr="00AF1C9D" w:rsidRDefault="00D371C1" w:rsidP="00F21822">
      <w:r w:rsidRPr="00AF1C9D">
        <w:t>Gegen das Mitbringen von Lebensmitteln durch die Mitarbeiter*innen nicht nur für den Eigenb</w:t>
      </w:r>
      <w:r w:rsidR="00287EC4">
        <w:t xml:space="preserve">edarf bestehen keine Bedenken. </w:t>
      </w:r>
      <w:r w:rsidRPr="00AF1C9D">
        <w:t xml:space="preserve">Übrig gebliebene Lebensmittel sind am gleichen Tag zu entsorgen. </w:t>
      </w:r>
    </w:p>
    <w:p w14:paraId="45448687" w14:textId="5E4BA19F" w:rsidR="00D371C1" w:rsidRPr="001E2205" w:rsidRDefault="00287EC4" w:rsidP="001E2205">
      <w:pPr>
        <w:pStyle w:val="berschrift3"/>
        <w:spacing w:line="240" w:lineRule="auto"/>
        <w:rPr>
          <w:rFonts w:ascii="Titillium Web" w:hAnsi="Titillium Web"/>
          <w:color w:val="44546A" w:themeColor="text2"/>
          <w:sz w:val="22"/>
          <w:szCs w:val="22"/>
        </w:rPr>
      </w:pPr>
      <w:bookmarkStart w:id="33" w:name="_Toc39565453"/>
      <w:r w:rsidRPr="001E2205">
        <w:rPr>
          <w:rFonts w:ascii="Titillium Web" w:hAnsi="Titillium Web"/>
          <w:color w:val="44546A" w:themeColor="text2"/>
          <w:sz w:val="22"/>
          <w:szCs w:val="22"/>
        </w:rPr>
        <w:t>4.2.2</w:t>
      </w:r>
      <w:r w:rsidR="00D371C1" w:rsidRPr="001E2205">
        <w:rPr>
          <w:rFonts w:ascii="Titillium Web" w:hAnsi="Titillium Web"/>
          <w:color w:val="44546A" w:themeColor="text2"/>
          <w:sz w:val="22"/>
          <w:szCs w:val="22"/>
        </w:rPr>
        <w:t xml:space="preserve"> Reinigungsmaßnahmen</w:t>
      </w:r>
      <w:bookmarkEnd w:id="33"/>
      <w:r w:rsidR="00D371C1" w:rsidRPr="001E2205">
        <w:rPr>
          <w:rFonts w:ascii="Titillium Web" w:hAnsi="Titillium Web"/>
          <w:color w:val="44546A" w:themeColor="text2"/>
          <w:sz w:val="22"/>
          <w:szCs w:val="22"/>
        </w:rPr>
        <w:t xml:space="preserve"> </w:t>
      </w:r>
    </w:p>
    <w:p w14:paraId="607A11FA" w14:textId="0D47E25D" w:rsidR="00287EC4" w:rsidRPr="00AF1C9D" w:rsidRDefault="00D371C1" w:rsidP="00F21822">
      <w:r w:rsidRPr="00AF1C9D">
        <w:t>Alle benutzten Geschirrteile (Teller, Tassen, Besteck) sind nach jeder Benutzung im Geschirrspüler bzw. in einer Spüle zu reinigen. Bei manueller Reinigung ist das Geschirr unmittelbar nach der Reinigung abzutrocknen. Die Geschirrtücher sind täglich zu wechseln.</w:t>
      </w:r>
      <w:r w:rsidR="000A2392">
        <w:t xml:space="preserve"> </w:t>
      </w:r>
      <w:r w:rsidRPr="00AF1C9D">
        <w:t>Tische und sonstige mit Lebensmitteln in Berührung gekommene Flächen sind nach der Esseneinnahme mit warmem Wasser unter Zu</w:t>
      </w:r>
      <w:r w:rsidR="00287EC4">
        <w:t xml:space="preserve">satz von Reinigern zu säubern. </w:t>
      </w:r>
      <w:r w:rsidRPr="00AF1C9D">
        <w:t xml:space="preserve">Die verwendeten Lappen sind danach zu wechseln bzw. gründlich auszuwaschen, sofort zu trocknen und trocken aufzubewahren. </w:t>
      </w:r>
    </w:p>
    <w:p w14:paraId="4610872D" w14:textId="7910514A" w:rsidR="00D371C1" w:rsidRPr="00084E6B" w:rsidRDefault="00D371C1" w:rsidP="00287EC4">
      <w:pPr>
        <w:pStyle w:val="berschrift2"/>
        <w:spacing w:line="360" w:lineRule="auto"/>
        <w:rPr>
          <w:b/>
          <w:color w:val="44546A" w:themeColor="text2"/>
        </w:rPr>
      </w:pPr>
      <w:bookmarkStart w:id="34" w:name="_Toc39565454"/>
      <w:r w:rsidRPr="00084E6B">
        <w:rPr>
          <w:b/>
          <w:color w:val="44546A" w:themeColor="text2"/>
        </w:rPr>
        <w:t>4.3 Sonstige Hygienemaßnahmen</w:t>
      </w:r>
      <w:bookmarkEnd w:id="34"/>
      <w:r w:rsidRPr="00084E6B">
        <w:rPr>
          <w:b/>
          <w:color w:val="44546A" w:themeColor="text2"/>
        </w:rPr>
        <w:t xml:space="preserve"> </w:t>
      </w:r>
    </w:p>
    <w:p w14:paraId="031E9DA5" w14:textId="58029748" w:rsidR="00D371C1" w:rsidRPr="001E2205" w:rsidRDefault="00D371C1" w:rsidP="001E2205">
      <w:pPr>
        <w:pStyle w:val="berschrift3"/>
        <w:spacing w:line="240" w:lineRule="auto"/>
        <w:rPr>
          <w:rFonts w:ascii="Titillium Web" w:hAnsi="Titillium Web"/>
          <w:color w:val="44546A" w:themeColor="text2"/>
          <w:sz w:val="22"/>
          <w:szCs w:val="22"/>
        </w:rPr>
      </w:pPr>
      <w:bookmarkStart w:id="35" w:name="_Toc39565455"/>
      <w:r w:rsidRPr="001E2205">
        <w:rPr>
          <w:rFonts w:ascii="Titillium Web" w:hAnsi="Titillium Web"/>
          <w:color w:val="44546A" w:themeColor="text2"/>
          <w:sz w:val="22"/>
          <w:szCs w:val="22"/>
        </w:rPr>
        <w:t>4.3.1 Abfallbeseitigung</w:t>
      </w:r>
      <w:bookmarkEnd w:id="35"/>
      <w:r w:rsidRPr="001E2205">
        <w:rPr>
          <w:rFonts w:ascii="Titillium Web" w:hAnsi="Titillium Web"/>
          <w:color w:val="44546A" w:themeColor="text2"/>
          <w:sz w:val="22"/>
          <w:szCs w:val="22"/>
        </w:rPr>
        <w:t xml:space="preserve"> </w:t>
      </w:r>
    </w:p>
    <w:p w14:paraId="489283AE" w14:textId="77777777" w:rsidR="00287EC4" w:rsidRPr="00F21822" w:rsidRDefault="00D371C1" w:rsidP="00F21822">
      <w:pPr>
        <w:pStyle w:val="Default"/>
        <w:numPr>
          <w:ilvl w:val="0"/>
          <w:numId w:val="6"/>
        </w:numPr>
        <w:rPr>
          <w:rFonts w:ascii="Titillium Web" w:hAnsi="Titillium Web"/>
          <w:sz w:val="22"/>
          <w:szCs w:val="22"/>
        </w:rPr>
      </w:pPr>
      <w:r w:rsidRPr="00F21822">
        <w:rPr>
          <w:rFonts w:ascii="Titillium Web" w:hAnsi="Titillium Web"/>
          <w:sz w:val="22"/>
          <w:szCs w:val="22"/>
        </w:rPr>
        <w:t xml:space="preserve">Es sind Maßnahmen der Abfallvermeidung festzulegen. </w:t>
      </w:r>
    </w:p>
    <w:p w14:paraId="37D281A8" w14:textId="77777777" w:rsidR="00287EC4" w:rsidRPr="00F21822" w:rsidRDefault="00D371C1" w:rsidP="00F21822">
      <w:pPr>
        <w:pStyle w:val="Default"/>
        <w:numPr>
          <w:ilvl w:val="0"/>
          <w:numId w:val="6"/>
        </w:numPr>
        <w:rPr>
          <w:rFonts w:ascii="Titillium Web" w:hAnsi="Titillium Web"/>
          <w:sz w:val="22"/>
          <w:szCs w:val="22"/>
        </w:rPr>
      </w:pPr>
      <w:r w:rsidRPr="00F21822">
        <w:rPr>
          <w:rFonts w:ascii="Titillium Web" w:hAnsi="Titillium Web"/>
          <w:sz w:val="22"/>
          <w:szCs w:val="22"/>
        </w:rPr>
        <w:t xml:space="preserve">Die Abfälle sind innerhalb der Einrichtung in gut schließenden und gut zu reinigenden Behältnissen zu sammeln und mindestens einmal täglich in die Abfallsammelbehälter außerhalb des Gebäudes zu entleeren. </w:t>
      </w:r>
    </w:p>
    <w:p w14:paraId="21C4D38A" w14:textId="77777777" w:rsidR="00287EC4" w:rsidRPr="00F21822" w:rsidRDefault="00D371C1" w:rsidP="00F21822">
      <w:pPr>
        <w:pStyle w:val="Default"/>
        <w:numPr>
          <w:ilvl w:val="0"/>
          <w:numId w:val="6"/>
        </w:numPr>
        <w:rPr>
          <w:rFonts w:ascii="Titillium Web" w:hAnsi="Titillium Web"/>
          <w:sz w:val="22"/>
          <w:szCs w:val="22"/>
        </w:rPr>
      </w:pPr>
      <w:r w:rsidRPr="00F21822">
        <w:rPr>
          <w:rFonts w:ascii="Titillium Web" w:hAnsi="Titillium Web"/>
          <w:sz w:val="22"/>
          <w:szCs w:val="22"/>
        </w:rPr>
        <w:t xml:space="preserve">Die Sammelbehälter sind auf einem befestigten und verschatteten Platz und nicht im Aufenthaltsbereich der Schulungsteilnehmer mindestens 5 m von Fenstern und Türen entfernt aufzustellen. </w:t>
      </w:r>
    </w:p>
    <w:p w14:paraId="16F40FE1" w14:textId="77777777" w:rsidR="00287EC4" w:rsidRPr="00F21822" w:rsidRDefault="00D371C1" w:rsidP="00F21822">
      <w:pPr>
        <w:pStyle w:val="Default"/>
        <w:numPr>
          <w:ilvl w:val="0"/>
          <w:numId w:val="6"/>
        </w:numPr>
        <w:rPr>
          <w:rFonts w:ascii="Titillium Web" w:hAnsi="Titillium Web"/>
          <w:sz w:val="22"/>
          <w:szCs w:val="22"/>
        </w:rPr>
      </w:pPr>
      <w:r w:rsidRPr="00F21822">
        <w:rPr>
          <w:rFonts w:ascii="Titillium Web" w:hAnsi="Titillium Web"/>
          <w:sz w:val="22"/>
          <w:szCs w:val="22"/>
        </w:rPr>
        <w:t xml:space="preserve">Der Stellplatz ist sauber zu halten. </w:t>
      </w:r>
    </w:p>
    <w:p w14:paraId="20A9AD32" w14:textId="6267F763" w:rsidR="00084E6B" w:rsidRPr="00F21822" w:rsidRDefault="00D371C1" w:rsidP="00F21822">
      <w:pPr>
        <w:pStyle w:val="Default"/>
        <w:numPr>
          <w:ilvl w:val="0"/>
          <w:numId w:val="6"/>
        </w:numPr>
        <w:rPr>
          <w:rFonts w:ascii="Titillium Web" w:hAnsi="Titillium Web"/>
          <w:sz w:val="22"/>
          <w:szCs w:val="22"/>
        </w:rPr>
      </w:pPr>
      <w:r w:rsidRPr="00F21822">
        <w:rPr>
          <w:rFonts w:ascii="Titillium Web" w:hAnsi="Titillium Web"/>
          <w:sz w:val="22"/>
          <w:szCs w:val="22"/>
        </w:rPr>
        <w:lastRenderedPageBreak/>
        <w:t xml:space="preserve">Für nicht haushaltsübliche Abfälle (z.B. Chemikalien, Leuchtstoffröhren) gelten besondere Entsorgungsvorschriften. </w:t>
      </w:r>
      <w:r w:rsidR="00F21822">
        <w:rPr>
          <w:rFonts w:ascii="Titillium Web" w:hAnsi="Titillium Web"/>
          <w:sz w:val="22"/>
          <w:szCs w:val="22"/>
        </w:rPr>
        <w:br/>
      </w:r>
    </w:p>
    <w:p w14:paraId="46DC9AC1" w14:textId="1DD48BD2" w:rsidR="00D371C1" w:rsidRPr="001E2205" w:rsidRDefault="00287EC4" w:rsidP="001E2205">
      <w:pPr>
        <w:pStyle w:val="berschrift3"/>
        <w:spacing w:line="240" w:lineRule="auto"/>
        <w:rPr>
          <w:rFonts w:ascii="Titillium Web" w:hAnsi="Titillium Web"/>
          <w:color w:val="44546A" w:themeColor="text2"/>
          <w:sz w:val="22"/>
          <w:szCs w:val="22"/>
        </w:rPr>
      </w:pPr>
      <w:bookmarkStart w:id="36" w:name="_Toc39565456"/>
      <w:r w:rsidRPr="001E2205">
        <w:rPr>
          <w:rFonts w:ascii="Titillium Web" w:hAnsi="Titillium Web"/>
          <w:color w:val="44546A" w:themeColor="text2"/>
          <w:sz w:val="22"/>
          <w:szCs w:val="22"/>
        </w:rPr>
        <w:t>4.3.2 Schädlingsprophylaxe und -</w:t>
      </w:r>
      <w:r w:rsidR="00D371C1" w:rsidRPr="001E2205">
        <w:rPr>
          <w:rFonts w:ascii="Titillium Web" w:hAnsi="Titillium Web"/>
          <w:color w:val="44546A" w:themeColor="text2"/>
          <w:sz w:val="22"/>
          <w:szCs w:val="22"/>
        </w:rPr>
        <w:t>bekämpfung</w:t>
      </w:r>
      <w:bookmarkEnd w:id="36"/>
      <w:r w:rsidR="00D371C1" w:rsidRPr="001E2205">
        <w:rPr>
          <w:rFonts w:ascii="Titillium Web" w:hAnsi="Titillium Web"/>
          <w:color w:val="44546A" w:themeColor="text2"/>
          <w:sz w:val="22"/>
          <w:szCs w:val="22"/>
        </w:rPr>
        <w:t xml:space="preserve"> </w:t>
      </w:r>
    </w:p>
    <w:p w14:paraId="1829AA51" w14:textId="19C3C069" w:rsidR="00D371C1" w:rsidRPr="00AF1C9D" w:rsidRDefault="00D371C1" w:rsidP="00F21822">
      <w:r w:rsidRPr="00AF1C9D">
        <w:t xml:space="preserve">Gesundheitsschädlinge sind Tiere, durch die Krankheitserreger auf den Menschen übertragen werden können. Als potenzielle Gesundheitsschädlinge in einer öffentlichen Einrichtung kommen insbesondere Schaben, Pharaoameisen, Flöhe, Fliegen, Ratten und Mäuse in Betracht. </w:t>
      </w:r>
    </w:p>
    <w:p w14:paraId="1177B4DA" w14:textId="77777777" w:rsidR="00287EC4" w:rsidRPr="00F21822" w:rsidRDefault="00D371C1" w:rsidP="00F21822">
      <w:pPr>
        <w:pStyle w:val="Default"/>
        <w:numPr>
          <w:ilvl w:val="0"/>
          <w:numId w:val="7"/>
        </w:numPr>
        <w:rPr>
          <w:rFonts w:ascii="Titillium Web" w:hAnsi="Titillium Web"/>
          <w:sz w:val="22"/>
          <w:szCs w:val="22"/>
        </w:rPr>
      </w:pPr>
      <w:r w:rsidRPr="00F21822">
        <w:rPr>
          <w:rFonts w:ascii="Titillium Web" w:hAnsi="Titillium Web"/>
          <w:sz w:val="22"/>
          <w:szCs w:val="22"/>
        </w:rPr>
        <w:t xml:space="preserve">Durch das Unterbinden von Zutritts- bzw. </w:t>
      </w:r>
      <w:proofErr w:type="spellStart"/>
      <w:r w:rsidRPr="00F21822">
        <w:rPr>
          <w:rFonts w:ascii="Titillium Web" w:hAnsi="Titillium Web"/>
          <w:sz w:val="22"/>
          <w:szCs w:val="22"/>
        </w:rPr>
        <w:t>Zuflugsmöglichkeiten</w:t>
      </w:r>
      <w:proofErr w:type="spellEnd"/>
      <w:r w:rsidRPr="00F21822">
        <w:rPr>
          <w:rFonts w:ascii="Titillium Web" w:hAnsi="Titillium Web"/>
          <w:sz w:val="22"/>
          <w:szCs w:val="22"/>
        </w:rPr>
        <w:t xml:space="preserve"> für Schädlinge, das Vermeiden von </w:t>
      </w:r>
      <w:proofErr w:type="spellStart"/>
      <w:r w:rsidRPr="00F21822">
        <w:rPr>
          <w:rFonts w:ascii="Titillium Web" w:hAnsi="Titillium Web"/>
          <w:sz w:val="22"/>
          <w:szCs w:val="22"/>
        </w:rPr>
        <w:t>Verbergeorten</w:t>
      </w:r>
      <w:proofErr w:type="spellEnd"/>
      <w:r w:rsidRPr="00F21822">
        <w:rPr>
          <w:rFonts w:ascii="Titillium Web" w:hAnsi="Titillium Web"/>
          <w:sz w:val="22"/>
          <w:szCs w:val="22"/>
        </w:rPr>
        <w:t xml:space="preserve">, das Beseitigen baulicher Mängel und die Einhaltung von Ordnung und Sauberkeit im Gebäude, im Küchenbereich und auf dem Außengelände ist einem Schädlingsbefall vorzubeugen. </w:t>
      </w:r>
    </w:p>
    <w:p w14:paraId="3861D75A" w14:textId="77777777" w:rsidR="00287EC4" w:rsidRPr="00F21822" w:rsidRDefault="00D371C1" w:rsidP="00F21822">
      <w:pPr>
        <w:pStyle w:val="Default"/>
        <w:numPr>
          <w:ilvl w:val="0"/>
          <w:numId w:val="7"/>
        </w:numPr>
        <w:rPr>
          <w:rFonts w:ascii="Titillium Web" w:hAnsi="Titillium Web"/>
          <w:sz w:val="22"/>
          <w:szCs w:val="22"/>
        </w:rPr>
      </w:pPr>
      <w:r w:rsidRPr="00F21822">
        <w:rPr>
          <w:rFonts w:ascii="Titillium Web" w:hAnsi="Titillium Web"/>
          <w:sz w:val="22"/>
          <w:szCs w:val="22"/>
        </w:rPr>
        <w:t xml:space="preserve">Es sind regelmäßig </w:t>
      </w:r>
      <w:proofErr w:type="spellStart"/>
      <w:r w:rsidRPr="00F21822">
        <w:rPr>
          <w:rFonts w:ascii="Titillium Web" w:hAnsi="Titillium Web"/>
          <w:sz w:val="22"/>
          <w:szCs w:val="22"/>
        </w:rPr>
        <w:t>Befallskontrollen</w:t>
      </w:r>
      <w:proofErr w:type="spellEnd"/>
      <w:r w:rsidRPr="00F21822">
        <w:rPr>
          <w:rFonts w:ascii="Titillium Web" w:hAnsi="Titillium Web"/>
          <w:sz w:val="22"/>
          <w:szCs w:val="22"/>
        </w:rPr>
        <w:t xml:space="preserve"> durchzuführen und zu dokumentieren. </w:t>
      </w:r>
    </w:p>
    <w:p w14:paraId="458D8BBE" w14:textId="77777777" w:rsidR="00287EC4" w:rsidRPr="00F21822" w:rsidRDefault="00D371C1" w:rsidP="00F21822">
      <w:pPr>
        <w:pStyle w:val="Default"/>
        <w:numPr>
          <w:ilvl w:val="0"/>
          <w:numId w:val="7"/>
        </w:numPr>
        <w:rPr>
          <w:rFonts w:ascii="Titillium Web" w:hAnsi="Titillium Web"/>
          <w:sz w:val="22"/>
          <w:szCs w:val="22"/>
        </w:rPr>
      </w:pPr>
      <w:r w:rsidRPr="00F21822">
        <w:rPr>
          <w:rFonts w:ascii="Titillium Web" w:hAnsi="Titillium Web"/>
          <w:sz w:val="22"/>
          <w:szCs w:val="22"/>
        </w:rPr>
        <w:t xml:space="preserve">Bei Feststellung von Schädlingen ist unverzüglich die Schädlingsart zu ermitteln, wobei Belegexemplare zur Bestimmung über das zuständige Gesundheitsamt an ein entomologisches Labor eingesandt werden können. Von dort aus erfolgt eine sachkundige Beratung zur Schädlingsart und zur Bekämpfung. </w:t>
      </w:r>
    </w:p>
    <w:p w14:paraId="6236E0EC" w14:textId="3A0DE4A7" w:rsidR="00287EC4" w:rsidRPr="00F21822" w:rsidRDefault="00D371C1" w:rsidP="00F21822">
      <w:pPr>
        <w:pStyle w:val="Default"/>
        <w:numPr>
          <w:ilvl w:val="0"/>
          <w:numId w:val="7"/>
        </w:numPr>
        <w:rPr>
          <w:rFonts w:ascii="Titillium Web" w:hAnsi="Titillium Web"/>
          <w:sz w:val="22"/>
          <w:szCs w:val="22"/>
        </w:rPr>
      </w:pPr>
      <w:r w:rsidRPr="00F21822">
        <w:rPr>
          <w:rFonts w:ascii="Titillium Web" w:hAnsi="Titillium Web"/>
          <w:sz w:val="22"/>
          <w:szCs w:val="22"/>
        </w:rPr>
        <w:t xml:space="preserve">Bei Befall ist ein*e </w:t>
      </w:r>
      <w:r w:rsidR="007937C2" w:rsidRPr="00F21822">
        <w:rPr>
          <w:rFonts w:ascii="Titillium Web" w:hAnsi="Titillium Web"/>
          <w:sz w:val="22"/>
          <w:szCs w:val="22"/>
        </w:rPr>
        <w:t>fachkundige</w:t>
      </w:r>
      <w:r w:rsidRPr="00F21822">
        <w:rPr>
          <w:rFonts w:ascii="Titillium Web" w:hAnsi="Titillium Web"/>
          <w:sz w:val="22"/>
          <w:szCs w:val="22"/>
        </w:rPr>
        <w:t xml:space="preserve">*r Schädlingsbekämpfer*in mit der Bekämpfung zu beauftragen. </w:t>
      </w:r>
    </w:p>
    <w:p w14:paraId="65FBA06A" w14:textId="7431AE3D" w:rsidR="00287EC4" w:rsidRPr="00F21822" w:rsidRDefault="00D371C1" w:rsidP="00F21822">
      <w:pPr>
        <w:pStyle w:val="Default"/>
        <w:numPr>
          <w:ilvl w:val="0"/>
          <w:numId w:val="7"/>
        </w:numPr>
        <w:rPr>
          <w:rFonts w:ascii="Titillium Web" w:hAnsi="Titillium Web"/>
          <w:sz w:val="22"/>
          <w:szCs w:val="22"/>
        </w:rPr>
      </w:pPr>
      <w:r w:rsidRPr="00F21822">
        <w:rPr>
          <w:rFonts w:ascii="Titillium Web" w:hAnsi="Titillium Web"/>
          <w:sz w:val="22"/>
          <w:szCs w:val="22"/>
        </w:rPr>
        <w:t xml:space="preserve">Das Gesundheitsamt ist über einen Befall zu informieren. </w:t>
      </w:r>
      <w:r w:rsidR="001E2205">
        <w:rPr>
          <w:rFonts w:ascii="Titillium Web" w:hAnsi="Titillium Web"/>
          <w:sz w:val="22"/>
          <w:szCs w:val="22"/>
        </w:rPr>
        <w:br/>
      </w:r>
    </w:p>
    <w:p w14:paraId="0145F5D4" w14:textId="4983481A" w:rsidR="00D371C1" w:rsidRPr="001E2205" w:rsidRDefault="00D371C1" w:rsidP="001E2205">
      <w:pPr>
        <w:pStyle w:val="berschrift3"/>
        <w:spacing w:line="240" w:lineRule="auto"/>
        <w:rPr>
          <w:rFonts w:ascii="Titillium Web" w:hAnsi="Titillium Web"/>
          <w:color w:val="44546A" w:themeColor="text2"/>
          <w:sz w:val="22"/>
          <w:szCs w:val="22"/>
        </w:rPr>
      </w:pPr>
      <w:bookmarkStart w:id="37" w:name="_Toc39565457"/>
      <w:r w:rsidRPr="001E2205">
        <w:rPr>
          <w:rFonts w:ascii="Titillium Web" w:hAnsi="Titillium Web"/>
          <w:color w:val="44546A" w:themeColor="text2"/>
          <w:sz w:val="22"/>
          <w:szCs w:val="22"/>
        </w:rPr>
        <w:t>4.3.3 Lüftung</w:t>
      </w:r>
      <w:bookmarkEnd w:id="37"/>
      <w:r w:rsidRPr="001E2205">
        <w:rPr>
          <w:rFonts w:ascii="Titillium Web" w:hAnsi="Titillium Web"/>
          <w:color w:val="44546A" w:themeColor="text2"/>
          <w:sz w:val="22"/>
          <w:szCs w:val="22"/>
        </w:rPr>
        <w:t xml:space="preserve"> </w:t>
      </w:r>
    </w:p>
    <w:p w14:paraId="0247E695" w14:textId="0839E92A" w:rsidR="00D371C1" w:rsidRPr="00AF1C9D" w:rsidRDefault="00D371C1" w:rsidP="00F21822">
      <w:r w:rsidRPr="00AF1C9D">
        <w:t>Bezüglich des Lüftungsverhaltens wird empfohlen, dass alle im Raum befindlichen Fenster in jeder Pause für 5 Minuten vollständig geöffnet werden sollten, um eine ausreichende Lüftung der Schulungsräume und Lehrwe</w:t>
      </w:r>
      <w:r w:rsidR="00EB204B">
        <w:t xml:space="preserve">rkstätten zu erreichen. </w:t>
      </w:r>
    </w:p>
    <w:p w14:paraId="1B65A1E5" w14:textId="6A339905" w:rsidR="00D371C1" w:rsidRPr="001E2205" w:rsidRDefault="00D371C1" w:rsidP="001E2205">
      <w:pPr>
        <w:pStyle w:val="berschrift3"/>
        <w:numPr>
          <w:ilvl w:val="2"/>
          <w:numId w:val="15"/>
        </w:numPr>
        <w:spacing w:line="240" w:lineRule="auto"/>
        <w:ind w:left="567" w:hanging="567"/>
        <w:rPr>
          <w:rFonts w:ascii="Titillium Web SemiBold" w:hAnsi="Titillium Web SemiBold"/>
          <w:color w:val="44546A" w:themeColor="text2"/>
          <w:sz w:val="22"/>
          <w:szCs w:val="22"/>
        </w:rPr>
      </w:pPr>
      <w:bookmarkStart w:id="38" w:name="_Toc39565458"/>
      <w:r w:rsidRPr="001E2205">
        <w:rPr>
          <w:rFonts w:ascii="Titillium Web SemiBold" w:hAnsi="Titillium Web SemiBold"/>
          <w:color w:val="44546A" w:themeColor="text2"/>
          <w:sz w:val="22"/>
          <w:szCs w:val="22"/>
        </w:rPr>
        <w:t>Trinkwasser</w:t>
      </w:r>
      <w:bookmarkEnd w:id="38"/>
      <w:r w:rsidRPr="001E2205">
        <w:rPr>
          <w:rFonts w:ascii="Titillium Web SemiBold" w:hAnsi="Titillium Web SemiBold"/>
          <w:color w:val="44546A" w:themeColor="text2"/>
          <w:sz w:val="22"/>
          <w:szCs w:val="22"/>
        </w:rPr>
        <w:t xml:space="preserve"> </w:t>
      </w:r>
    </w:p>
    <w:p w14:paraId="250097C6" w14:textId="36332139" w:rsidR="00287EC4" w:rsidRDefault="0084227B" w:rsidP="00F21822">
      <w:r>
        <w:t>Das in der Bildungsstätte</w:t>
      </w:r>
      <w:r w:rsidR="00D371C1" w:rsidRPr="00AF1C9D">
        <w:t xml:space="preserve"> verwendete Wasser für den menschlichen Gebrauch muss generell der Trin</w:t>
      </w:r>
      <w:r w:rsidR="00287EC4">
        <w:t>kwasserverordnung entsprechen. I</w:t>
      </w:r>
      <w:r w:rsidR="00D371C1" w:rsidRPr="00AF1C9D">
        <w:t xml:space="preserve">nstallationen sind nach den anerkannten Regeln der Technik und nur von bei dem Wasserversorger registrierten Firmen durchführen zu lassen. </w:t>
      </w:r>
    </w:p>
    <w:p w14:paraId="22CB5FA6" w14:textId="77777777" w:rsidR="00D371C1" w:rsidRPr="00F21822" w:rsidRDefault="00D371C1" w:rsidP="00F21822">
      <w:pPr>
        <w:pStyle w:val="Default"/>
        <w:numPr>
          <w:ilvl w:val="0"/>
          <w:numId w:val="8"/>
        </w:numPr>
        <w:spacing w:line="360" w:lineRule="auto"/>
        <w:rPr>
          <w:rFonts w:ascii="Titillium Web" w:hAnsi="Titillium Web"/>
          <w:sz w:val="22"/>
          <w:szCs w:val="22"/>
        </w:rPr>
      </w:pPr>
      <w:proofErr w:type="spellStart"/>
      <w:r w:rsidRPr="00F21822">
        <w:rPr>
          <w:rFonts w:ascii="Titillium Web" w:hAnsi="Titillium Web"/>
          <w:sz w:val="22"/>
          <w:szCs w:val="22"/>
        </w:rPr>
        <w:t>Legionellenprophylaxe</w:t>
      </w:r>
      <w:proofErr w:type="spellEnd"/>
      <w:r w:rsidRPr="00F21822">
        <w:rPr>
          <w:rFonts w:ascii="Titillium Web" w:hAnsi="Titillium Web"/>
          <w:sz w:val="22"/>
          <w:szCs w:val="22"/>
        </w:rPr>
        <w:t xml:space="preserve"> </w:t>
      </w:r>
    </w:p>
    <w:p w14:paraId="6F21192D" w14:textId="77777777" w:rsidR="00287EC4" w:rsidRPr="00AF1C9D" w:rsidRDefault="00D371C1" w:rsidP="00F21822">
      <w:r w:rsidRPr="00AF1C9D">
        <w:t xml:space="preserve">Duschen, die nicht täglich genutzt werden, sind zur </w:t>
      </w:r>
      <w:proofErr w:type="spellStart"/>
      <w:r w:rsidRPr="00AF1C9D">
        <w:t>Legionellenprophylaxe</w:t>
      </w:r>
      <w:proofErr w:type="spellEnd"/>
      <w:r w:rsidRPr="00AF1C9D">
        <w:t xml:space="preserve"> zu spülen. Dabei ist das Warmwasser vor der Nutzung ca. 5 Minuten laufen zu lassen (maximale Erwärmungsstufe einstellen).</w:t>
      </w:r>
      <w:r w:rsidR="00E44F97">
        <w:t xml:space="preserve"> </w:t>
      </w:r>
      <w:r w:rsidRPr="00AF1C9D">
        <w:t xml:space="preserve">Duschköpfe sind regelmäßig auf Kalkablagerungen hin zu überprüfen und ggfs. zu reinigen. </w:t>
      </w:r>
    </w:p>
    <w:p w14:paraId="63CFC430" w14:textId="77777777" w:rsidR="00D371C1" w:rsidRPr="00F21822" w:rsidRDefault="00D371C1" w:rsidP="00F21822">
      <w:pPr>
        <w:pStyle w:val="Default"/>
        <w:numPr>
          <w:ilvl w:val="0"/>
          <w:numId w:val="8"/>
        </w:numPr>
        <w:spacing w:line="360" w:lineRule="auto"/>
        <w:rPr>
          <w:rFonts w:ascii="Titillium Web" w:hAnsi="Titillium Web"/>
          <w:sz w:val="22"/>
          <w:szCs w:val="22"/>
        </w:rPr>
      </w:pPr>
      <w:r w:rsidRPr="00F21822">
        <w:rPr>
          <w:rFonts w:ascii="Titillium Web" w:hAnsi="Titillium Web"/>
          <w:sz w:val="22"/>
          <w:szCs w:val="22"/>
        </w:rPr>
        <w:t xml:space="preserve">Vermeidung von Stagnationsproblemen </w:t>
      </w:r>
    </w:p>
    <w:p w14:paraId="6C06B3BC" w14:textId="022B155A" w:rsidR="00E44F97" w:rsidRPr="00AF1C9D" w:rsidRDefault="00D371C1" w:rsidP="00F21822">
      <w:r w:rsidRPr="00AF1C9D">
        <w:t xml:space="preserve">Am Wochenanfang und nach lehrgangsfreien Zeiten ist das Trinkwasser, sofern es dem menschlichen Genuss dienen soll, ca. 5 Min. beziehungsweise bis zum Erreichen der Temperaturkonstanz (Wasser wird nicht mehr kälter) ablaufen zu lassen, um die Leitungen zu spülen. </w:t>
      </w:r>
    </w:p>
    <w:p w14:paraId="582A1F91" w14:textId="689FB115" w:rsidR="00D371C1" w:rsidRPr="00084E6B" w:rsidRDefault="00D371C1" w:rsidP="00E44F97">
      <w:pPr>
        <w:pStyle w:val="berschrift2"/>
        <w:spacing w:line="360" w:lineRule="auto"/>
        <w:rPr>
          <w:b/>
          <w:color w:val="44546A" w:themeColor="text2"/>
        </w:rPr>
      </w:pPr>
      <w:bookmarkStart w:id="39" w:name="_Toc39565459"/>
      <w:r w:rsidRPr="00084E6B">
        <w:rPr>
          <w:b/>
          <w:color w:val="44546A" w:themeColor="text2"/>
        </w:rPr>
        <w:lastRenderedPageBreak/>
        <w:t>4.4 Erste Hilfe; Schutz des Ersthelfers</w:t>
      </w:r>
      <w:bookmarkEnd w:id="39"/>
      <w:r w:rsidRPr="00084E6B">
        <w:rPr>
          <w:b/>
          <w:color w:val="44546A" w:themeColor="text2"/>
        </w:rPr>
        <w:t xml:space="preserve"> </w:t>
      </w:r>
    </w:p>
    <w:p w14:paraId="6749E735" w14:textId="700FE64A" w:rsidR="0019161E" w:rsidRPr="00AF1C9D" w:rsidRDefault="0084227B" w:rsidP="00F21822">
      <w:r>
        <w:t>Der Träger der Bildungsstätte</w:t>
      </w:r>
      <w:r w:rsidR="00D371C1" w:rsidRPr="00AF1C9D">
        <w:t xml:space="preserve"> sorgt dafür, dass eine ausreichende Anzahl an Personen Erste-Hilfe-Kenntnisse vorweist und zur Verfügung steht. Die Erste-Hilfe-Kenntnisse sollten regelmäßig aufgefrischt werden. </w:t>
      </w:r>
    </w:p>
    <w:p w14:paraId="0E555555" w14:textId="76F5BAE7" w:rsidR="00D371C1" w:rsidRPr="001E2205" w:rsidRDefault="00D371C1" w:rsidP="001E2205">
      <w:pPr>
        <w:pStyle w:val="berschrift3"/>
        <w:spacing w:line="240" w:lineRule="auto"/>
        <w:rPr>
          <w:rFonts w:ascii="Titillium Web" w:hAnsi="Titillium Web"/>
          <w:color w:val="44546A" w:themeColor="text2"/>
          <w:sz w:val="22"/>
          <w:szCs w:val="22"/>
        </w:rPr>
      </w:pPr>
      <w:bookmarkStart w:id="40" w:name="_Toc39565460"/>
      <w:r w:rsidRPr="001E2205">
        <w:rPr>
          <w:rFonts w:ascii="Titillium Web" w:hAnsi="Titillium Web"/>
          <w:color w:val="44546A" w:themeColor="text2"/>
          <w:sz w:val="22"/>
          <w:szCs w:val="22"/>
        </w:rPr>
        <w:t>4.4.1 Hygiene im Erste-Hilfe-Raum</w:t>
      </w:r>
      <w:bookmarkEnd w:id="40"/>
      <w:r w:rsidRPr="001E2205">
        <w:rPr>
          <w:rFonts w:ascii="Titillium Web" w:hAnsi="Titillium Web"/>
          <w:color w:val="44546A" w:themeColor="text2"/>
          <w:sz w:val="22"/>
          <w:szCs w:val="22"/>
        </w:rPr>
        <w:t xml:space="preserve"> </w:t>
      </w:r>
    </w:p>
    <w:p w14:paraId="299AA30E" w14:textId="57A08216" w:rsidR="0019161E" w:rsidRPr="00AF1C9D" w:rsidRDefault="00D371C1" w:rsidP="00F21822">
      <w:r w:rsidRPr="00AF1C9D">
        <w:t xml:space="preserve">Der Erste-Hilfe-Raum sollte mit einem Handwaschbecken, Flüssigseife und Einmalhandtuchpapier ausgestattet sein. Er darf nicht als Abstell- oder Lagerraum zweckentfremdet werden. Die Krankenliege ist nach jeder Benutzung von sichtbaren Verschmutzungen zu reinigen und ggf. mit einem Flächendesinfektionsmittel zu desinfizieren. Verbandsmaterialien müssen zu jeder Zeit zur Verfügung gestellt werden. </w:t>
      </w:r>
    </w:p>
    <w:p w14:paraId="65AD623F" w14:textId="63157A03" w:rsidR="00D371C1" w:rsidRPr="001E2205" w:rsidRDefault="00D371C1" w:rsidP="001E2205">
      <w:pPr>
        <w:pStyle w:val="berschrift3"/>
        <w:spacing w:line="240" w:lineRule="auto"/>
        <w:rPr>
          <w:rFonts w:ascii="Titillium Web" w:hAnsi="Titillium Web"/>
          <w:color w:val="44546A" w:themeColor="text2"/>
          <w:sz w:val="22"/>
          <w:szCs w:val="22"/>
        </w:rPr>
      </w:pPr>
      <w:bookmarkStart w:id="41" w:name="_Toc39565461"/>
      <w:r w:rsidRPr="001E2205">
        <w:rPr>
          <w:rFonts w:ascii="Titillium Web" w:hAnsi="Titillium Web"/>
          <w:color w:val="44546A" w:themeColor="text2"/>
          <w:sz w:val="22"/>
          <w:szCs w:val="22"/>
        </w:rPr>
        <w:t>4.4.2 Versorgung von Bagatellwunden</w:t>
      </w:r>
      <w:bookmarkEnd w:id="41"/>
      <w:r w:rsidRPr="001E2205">
        <w:rPr>
          <w:rFonts w:ascii="Titillium Web" w:hAnsi="Titillium Web"/>
          <w:color w:val="44546A" w:themeColor="text2"/>
          <w:sz w:val="22"/>
          <w:szCs w:val="22"/>
        </w:rPr>
        <w:t xml:space="preserve"> </w:t>
      </w:r>
    </w:p>
    <w:p w14:paraId="42219566" w14:textId="273D4ACF" w:rsidR="0019161E" w:rsidRPr="00AF1C9D" w:rsidRDefault="00D371C1" w:rsidP="00F21822">
      <w:r w:rsidRPr="00AF1C9D">
        <w:t xml:space="preserve">Der*Die Ersthelfer*in trägt bei der Wundversorgung Einmalhandschuhe und desinfiziert sich vor und nach der Hilfeleistung die Hände. </w:t>
      </w:r>
    </w:p>
    <w:p w14:paraId="3826694F" w14:textId="760AD404" w:rsidR="00D371C1" w:rsidRPr="001E2205" w:rsidRDefault="00D371C1" w:rsidP="001E2205">
      <w:pPr>
        <w:pStyle w:val="berschrift3"/>
        <w:spacing w:line="240" w:lineRule="auto"/>
        <w:rPr>
          <w:rFonts w:ascii="Titillium Web" w:hAnsi="Titillium Web"/>
          <w:color w:val="44546A" w:themeColor="text2"/>
          <w:sz w:val="22"/>
          <w:szCs w:val="22"/>
        </w:rPr>
      </w:pPr>
      <w:bookmarkStart w:id="42" w:name="_Toc39565462"/>
      <w:r w:rsidRPr="001E2205">
        <w:rPr>
          <w:rFonts w:ascii="Titillium Web" w:hAnsi="Titillium Web"/>
          <w:color w:val="44546A" w:themeColor="text2"/>
          <w:sz w:val="22"/>
          <w:szCs w:val="22"/>
        </w:rPr>
        <w:t>4.4.3 Behandlung kontaminierter Flächen</w:t>
      </w:r>
      <w:bookmarkEnd w:id="42"/>
      <w:r w:rsidRPr="001E2205">
        <w:rPr>
          <w:rFonts w:ascii="Titillium Web" w:hAnsi="Titillium Web"/>
          <w:color w:val="44546A" w:themeColor="text2"/>
          <w:sz w:val="22"/>
          <w:szCs w:val="22"/>
        </w:rPr>
        <w:t xml:space="preserve"> </w:t>
      </w:r>
    </w:p>
    <w:p w14:paraId="6ABFB840" w14:textId="25F73709" w:rsidR="0019161E" w:rsidRPr="00AF1C9D" w:rsidRDefault="00D371C1" w:rsidP="00203419">
      <w:r w:rsidRPr="00AF1C9D">
        <w:t xml:space="preserve">Mit Blut oder sonstigen Exkreten kontaminierte Flächen sind (unter Tragen von Einmalhandschuhen) mit einem mit Desinfektionsmittel getränkten Einmaltuch zu reinigen. Die betroffene Fläche ist anschließend nochmals regelgerecht zu desinfizieren. </w:t>
      </w:r>
    </w:p>
    <w:p w14:paraId="64AAAF07" w14:textId="531CF4DE" w:rsidR="00D371C1" w:rsidRPr="001E2205" w:rsidRDefault="00D371C1" w:rsidP="001E2205">
      <w:pPr>
        <w:pStyle w:val="berschrift3"/>
        <w:spacing w:line="240" w:lineRule="auto"/>
        <w:rPr>
          <w:rFonts w:ascii="Titillium Web" w:hAnsi="Titillium Web"/>
          <w:color w:val="44546A" w:themeColor="text2"/>
          <w:sz w:val="22"/>
          <w:szCs w:val="22"/>
        </w:rPr>
      </w:pPr>
      <w:bookmarkStart w:id="43" w:name="_Toc39565463"/>
      <w:r w:rsidRPr="001E2205">
        <w:rPr>
          <w:rFonts w:ascii="Titillium Web" w:hAnsi="Titillium Web"/>
          <w:color w:val="44546A" w:themeColor="text2"/>
          <w:sz w:val="22"/>
          <w:szCs w:val="22"/>
        </w:rPr>
        <w:t>4.4.4 Überprüfung des Erste-Hilfe-Kastens</w:t>
      </w:r>
      <w:bookmarkEnd w:id="43"/>
      <w:r w:rsidRPr="001E2205">
        <w:rPr>
          <w:rFonts w:ascii="Titillium Web" w:hAnsi="Titillium Web"/>
          <w:color w:val="44546A" w:themeColor="text2"/>
          <w:sz w:val="22"/>
          <w:szCs w:val="22"/>
        </w:rPr>
        <w:t xml:space="preserve"> </w:t>
      </w:r>
    </w:p>
    <w:p w14:paraId="03099842" w14:textId="77777777" w:rsidR="00D371C1" w:rsidRPr="00AF1C9D" w:rsidRDefault="00D371C1" w:rsidP="00203419">
      <w:r w:rsidRPr="00AF1C9D">
        <w:t>Gemäß</w:t>
      </w:r>
      <w:r w:rsidR="006659A3">
        <w:t xml:space="preserve"> </w:t>
      </w:r>
      <w:r w:rsidRPr="00AF1C9D">
        <w:t xml:space="preserve">Seite 12 von 13 Unfallverhütungsvorschrift „Grundsätze der Prävention BGV A1“ enthalten folgende Verbandkästen geeignetes Erste-Hilfe-Material: </w:t>
      </w:r>
    </w:p>
    <w:p w14:paraId="2222C0FE" w14:textId="77777777" w:rsidR="00E44F97" w:rsidRPr="00203419" w:rsidRDefault="00D371C1" w:rsidP="00203419">
      <w:pPr>
        <w:pStyle w:val="Default"/>
        <w:numPr>
          <w:ilvl w:val="0"/>
          <w:numId w:val="8"/>
        </w:numPr>
        <w:rPr>
          <w:rFonts w:ascii="Titillium Web" w:hAnsi="Titillium Web"/>
          <w:sz w:val="22"/>
          <w:szCs w:val="22"/>
        </w:rPr>
      </w:pPr>
      <w:r w:rsidRPr="00203419">
        <w:rPr>
          <w:rFonts w:ascii="Titillium Web" w:hAnsi="Titillium Web"/>
          <w:sz w:val="22"/>
          <w:szCs w:val="22"/>
        </w:rPr>
        <w:t xml:space="preserve">Großer Verbandkasten nach DIN 13169 oder „Verbandkasten E“ </w:t>
      </w:r>
    </w:p>
    <w:p w14:paraId="2A529FC7" w14:textId="2873DBCE" w:rsidR="00D371C1" w:rsidRPr="00203419" w:rsidRDefault="00D371C1" w:rsidP="00203419">
      <w:pPr>
        <w:pStyle w:val="Default"/>
        <w:numPr>
          <w:ilvl w:val="0"/>
          <w:numId w:val="8"/>
        </w:numPr>
        <w:rPr>
          <w:rFonts w:ascii="Titillium Web" w:hAnsi="Titillium Web"/>
          <w:sz w:val="22"/>
          <w:szCs w:val="22"/>
        </w:rPr>
      </w:pPr>
      <w:r w:rsidRPr="00203419">
        <w:rPr>
          <w:rFonts w:ascii="Titillium Web" w:hAnsi="Titillium Web"/>
          <w:sz w:val="22"/>
          <w:szCs w:val="22"/>
        </w:rPr>
        <w:t xml:space="preserve">Kleiner Verbandkasten nach DIN 13157 oder „Verbandkasten C“ </w:t>
      </w:r>
      <w:r w:rsidR="00203419">
        <w:rPr>
          <w:rFonts w:ascii="Titillium Web" w:hAnsi="Titillium Web"/>
          <w:sz w:val="22"/>
          <w:szCs w:val="22"/>
        </w:rPr>
        <w:br/>
      </w:r>
    </w:p>
    <w:p w14:paraId="195CF7BE" w14:textId="622391C2" w:rsidR="0019161E" w:rsidRPr="00AF1C9D" w:rsidRDefault="00D371C1" w:rsidP="00203419">
      <w:r w:rsidRPr="00AF1C9D">
        <w:t>Zusätzlich sind ein alkoholisches Händedesinfektionsmittel und ein Flächendesinf</w:t>
      </w:r>
      <w:r w:rsidR="000A2392">
        <w:t xml:space="preserve">ektionsmittel bereitzustellen. </w:t>
      </w:r>
      <w:r w:rsidRPr="00AF1C9D">
        <w:t>Verbrauchte Materialien (zum Beispiel Einmalhandschuhe, Pflaster) sind umgehend zu ersetzen, regelmäßige Bestandskontrollen der Erste-Hilfe-Kästen sind durch</w:t>
      </w:r>
      <w:r w:rsidR="00E44F97">
        <w:t xml:space="preserve">zuführen. Insbesondere ist das </w:t>
      </w:r>
      <w:r w:rsidRPr="00AF1C9D">
        <w:t xml:space="preserve">Ablaufdatum des Händedesinfektionsmittels zu überprüfen und dieses erforderlichenfalls zu ersetzen. </w:t>
      </w:r>
    </w:p>
    <w:p w14:paraId="5C32F0B3" w14:textId="77777777" w:rsidR="00D371C1" w:rsidRPr="001E2205" w:rsidRDefault="00D371C1" w:rsidP="001E2205">
      <w:pPr>
        <w:pStyle w:val="berschrift3"/>
        <w:spacing w:line="240" w:lineRule="auto"/>
        <w:rPr>
          <w:rFonts w:ascii="Titillium Web" w:hAnsi="Titillium Web"/>
          <w:color w:val="44546A" w:themeColor="text2"/>
          <w:sz w:val="22"/>
          <w:szCs w:val="22"/>
        </w:rPr>
      </w:pPr>
      <w:bookmarkStart w:id="44" w:name="_Toc39565464"/>
      <w:r w:rsidRPr="001E2205">
        <w:rPr>
          <w:rFonts w:ascii="Titillium Web" w:hAnsi="Titillium Web"/>
          <w:color w:val="44546A" w:themeColor="text2"/>
          <w:sz w:val="22"/>
          <w:szCs w:val="22"/>
        </w:rPr>
        <w:t>4.4.5 Notrufnummern</w:t>
      </w:r>
      <w:bookmarkEnd w:id="44"/>
      <w:r w:rsidRPr="001E2205">
        <w:rPr>
          <w:rFonts w:ascii="Titillium Web" w:hAnsi="Titillium Web"/>
          <w:color w:val="44546A" w:themeColor="text2"/>
          <w:sz w:val="22"/>
          <w:szCs w:val="22"/>
        </w:rPr>
        <w:t xml:space="preserve"> </w:t>
      </w:r>
    </w:p>
    <w:p w14:paraId="2C264CD1" w14:textId="7435F01D" w:rsidR="00F658DA" w:rsidRPr="00F658DA" w:rsidRDefault="00D371C1" w:rsidP="00A81453">
      <w:pPr>
        <w:spacing w:line="240" w:lineRule="auto"/>
      </w:pPr>
      <w:r w:rsidRPr="00AF1C9D">
        <w:t xml:space="preserve">Polizei: 110 </w:t>
      </w:r>
      <w:r w:rsidR="00A81453">
        <w:br/>
      </w:r>
      <w:r w:rsidRPr="00AF1C9D">
        <w:t xml:space="preserve">Feuerwehr: 112 </w:t>
      </w:r>
      <w:r w:rsidR="00A81453">
        <w:br/>
      </w:r>
      <w:bookmarkStart w:id="45" w:name="_GoBack"/>
      <w:bookmarkEnd w:id="45"/>
      <w:r w:rsidRPr="00F658DA">
        <w:t xml:space="preserve">Arbeitsmedizinischer Dienst: </w:t>
      </w:r>
      <w:r w:rsidR="0084227B">
        <w:t>….</w:t>
      </w:r>
    </w:p>
    <w:p w14:paraId="545DB807" w14:textId="77777777" w:rsidR="00D371C1" w:rsidRPr="00D371C1" w:rsidRDefault="00D371C1" w:rsidP="00203419"/>
    <w:sectPr w:rsidR="00D371C1" w:rsidRPr="00D371C1" w:rsidSect="00E11E95">
      <w:headerReference w:type="default" r:id="rId9"/>
      <w:footerReference w:type="default" r:id="rId10"/>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2D13E" w14:textId="77777777" w:rsidR="00F268CB" w:rsidRDefault="00F268CB" w:rsidP="00227277">
      <w:pPr>
        <w:spacing w:after="0" w:line="240" w:lineRule="auto"/>
      </w:pPr>
      <w:r>
        <w:separator/>
      </w:r>
    </w:p>
  </w:endnote>
  <w:endnote w:type="continuationSeparator" w:id="0">
    <w:p w14:paraId="133A0EB4" w14:textId="77777777" w:rsidR="00F268CB" w:rsidRDefault="00F268CB" w:rsidP="00227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Titillium Web Light">
    <w:panose1 w:val="000004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eb SemiBold">
    <w:altName w:val="Calibri"/>
    <w:panose1 w:val="000007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493148"/>
      <w:docPartObj>
        <w:docPartGallery w:val="Page Numbers (Bottom of Page)"/>
        <w:docPartUnique/>
      </w:docPartObj>
    </w:sdtPr>
    <w:sdtEndPr/>
    <w:sdtContent>
      <w:p w14:paraId="4295DCE0" w14:textId="5372DF9B" w:rsidR="00337A2F" w:rsidRDefault="00337A2F" w:rsidP="00A17DAF">
        <w:pPr>
          <w:pStyle w:val="Fuzeile"/>
          <w:jc w:val="right"/>
        </w:pPr>
        <w:r>
          <w:fldChar w:fldCharType="begin"/>
        </w:r>
        <w:r>
          <w:instrText>PAGE   \* MERGEFORMAT</w:instrText>
        </w:r>
        <w:r>
          <w:fldChar w:fldCharType="separate"/>
        </w:r>
        <w:r w:rsidR="00B15FB3">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D5C1E" w14:textId="77777777" w:rsidR="00F268CB" w:rsidRDefault="00F268CB" w:rsidP="00227277">
      <w:pPr>
        <w:spacing w:after="0" w:line="240" w:lineRule="auto"/>
      </w:pPr>
      <w:r>
        <w:separator/>
      </w:r>
    </w:p>
  </w:footnote>
  <w:footnote w:type="continuationSeparator" w:id="0">
    <w:p w14:paraId="341F0BB7" w14:textId="77777777" w:rsidR="00F268CB" w:rsidRDefault="00F268CB" w:rsidP="00227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150BF" w14:textId="77777777" w:rsidR="00337A2F" w:rsidRDefault="00337A2F">
    <w:pPr>
      <w:pStyle w:val="Kopfzeile"/>
    </w:pPr>
  </w:p>
  <w:p w14:paraId="500D82E6" w14:textId="77777777" w:rsidR="00337A2F" w:rsidRDefault="00337A2F">
    <w:pPr>
      <w:pStyle w:val="Kopfzeile"/>
    </w:pPr>
  </w:p>
  <w:p w14:paraId="0AB90B51" w14:textId="1CDDFDB9" w:rsidR="00337A2F" w:rsidRDefault="00337A2F">
    <w:pPr>
      <w:pStyle w:val="Kopfzeile"/>
    </w:pPr>
  </w:p>
  <w:p w14:paraId="77F3E8B5" w14:textId="77777777" w:rsidR="00337A2F" w:rsidRDefault="00337A2F">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749C"/>
    <w:multiLevelType w:val="hybridMultilevel"/>
    <w:tmpl w:val="982692A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3968ED"/>
    <w:multiLevelType w:val="hybridMultilevel"/>
    <w:tmpl w:val="54B404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404D8C"/>
    <w:multiLevelType w:val="hybridMultilevel"/>
    <w:tmpl w:val="987E98DA"/>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76D52BF"/>
    <w:multiLevelType w:val="hybridMultilevel"/>
    <w:tmpl w:val="7F08DA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1E39A1"/>
    <w:multiLevelType w:val="hybridMultilevel"/>
    <w:tmpl w:val="6E3A1F3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54579"/>
    <w:multiLevelType w:val="hybridMultilevel"/>
    <w:tmpl w:val="29EE157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A10B75"/>
    <w:multiLevelType w:val="hybridMultilevel"/>
    <w:tmpl w:val="E1EC9E30"/>
    <w:lvl w:ilvl="0" w:tplc="ECA07F8A">
      <w:start w:val="1"/>
      <w:numFmt w:val="bullet"/>
      <w:lvlText w:val=""/>
      <w:lvlJc w:val="left"/>
      <w:pPr>
        <w:ind w:left="360" w:hanging="360"/>
      </w:pPr>
      <w:rPr>
        <w:rFonts w:ascii="Symbol" w:hAnsi="Symbol" w:hint="default"/>
        <w:color w:val="08377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283DF0"/>
    <w:multiLevelType w:val="multilevel"/>
    <w:tmpl w:val="D2BAE838"/>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F575608"/>
    <w:multiLevelType w:val="multilevel"/>
    <w:tmpl w:val="5B3EC9D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C734D30"/>
    <w:multiLevelType w:val="hybridMultilevel"/>
    <w:tmpl w:val="E4D430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6E1C84"/>
    <w:multiLevelType w:val="hybridMultilevel"/>
    <w:tmpl w:val="1E143C80"/>
    <w:lvl w:ilvl="0" w:tplc="E356F218">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314707"/>
    <w:multiLevelType w:val="multilevel"/>
    <w:tmpl w:val="35D69D5E"/>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631F77"/>
    <w:multiLevelType w:val="hybridMultilevel"/>
    <w:tmpl w:val="7FEAD41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903880"/>
    <w:multiLevelType w:val="hybridMultilevel"/>
    <w:tmpl w:val="86EED2AC"/>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4" w15:restartNumberingAfterBreak="0">
    <w:nsid w:val="61387EB1"/>
    <w:multiLevelType w:val="multilevel"/>
    <w:tmpl w:val="5B2E58A0"/>
    <w:lvl w:ilvl="0">
      <w:start w:val="3"/>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2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5"/>
  </w:num>
  <w:num w:numId="3">
    <w:abstractNumId w:val="4"/>
  </w:num>
  <w:num w:numId="4">
    <w:abstractNumId w:val="0"/>
  </w:num>
  <w:num w:numId="5">
    <w:abstractNumId w:val="1"/>
  </w:num>
  <w:num w:numId="6">
    <w:abstractNumId w:val="9"/>
  </w:num>
  <w:num w:numId="7">
    <w:abstractNumId w:val="12"/>
  </w:num>
  <w:num w:numId="8">
    <w:abstractNumId w:val="3"/>
  </w:num>
  <w:num w:numId="9">
    <w:abstractNumId w:val="7"/>
  </w:num>
  <w:num w:numId="10">
    <w:abstractNumId w:val="14"/>
  </w:num>
  <w:num w:numId="11">
    <w:abstractNumId w:val="8"/>
  </w:num>
  <w:num w:numId="12">
    <w:abstractNumId w:val="13"/>
  </w:num>
  <w:num w:numId="13">
    <w:abstractNumId w:val="6"/>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77"/>
    <w:rsid w:val="00012D70"/>
    <w:rsid w:val="00014F75"/>
    <w:rsid w:val="00046562"/>
    <w:rsid w:val="00056B92"/>
    <w:rsid w:val="00073FAF"/>
    <w:rsid w:val="00081481"/>
    <w:rsid w:val="00084E6B"/>
    <w:rsid w:val="000A2392"/>
    <w:rsid w:val="000B7B2E"/>
    <w:rsid w:val="000F4364"/>
    <w:rsid w:val="001160C7"/>
    <w:rsid w:val="0019161E"/>
    <w:rsid w:val="001E2205"/>
    <w:rsid w:val="00203419"/>
    <w:rsid w:val="00227277"/>
    <w:rsid w:val="00287EC4"/>
    <w:rsid w:val="002A4ADF"/>
    <w:rsid w:val="003160EB"/>
    <w:rsid w:val="00326F55"/>
    <w:rsid w:val="00327E67"/>
    <w:rsid w:val="00337A2F"/>
    <w:rsid w:val="003617CC"/>
    <w:rsid w:val="003E51D4"/>
    <w:rsid w:val="00436160"/>
    <w:rsid w:val="00471F68"/>
    <w:rsid w:val="00485F7D"/>
    <w:rsid w:val="004F1AE8"/>
    <w:rsid w:val="00517AFC"/>
    <w:rsid w:val="00535094"/>
    <w:rsid w:val="005515E3"/>
    <w:rsid w:val="00583CA4"/>
    <w:rsid w:val="005C5FB2"/>
    <w:rsid w:val="005D6B32"/>
    <w:rsid w:val="005E4C79"/>
    <w:rsid w:val="005F1745"/>
    <w:rsid w:val="00602A82"/>
    <w:rsid w:val="006659A3"/>
    <w:rsid w:val="00670D65"/>
    <w:rsid w:val="00682FAE"/>
    <w:rsid w:val="00687FEE"/>
    <w:rsid w:val="006D5308"/>
    <w:rsid w:val="00723F7C"/>
    <w:rsid w:val="007610E9"/>
    <w:rsid w:val="00764C85"/>
    <w:rsid w:val="007754FB"/>
    <w:rsid w:val="007811C9"/>
    <w:rsid w:val="007937C2"/>
    <w:rsid w:val="007B64B0"/>
    <w:rsid w:val="007F0652"/>
    <w:rsid w:val="0084227B"/>
    <w:rsid w:val="0085113C"/>
    <w:rsid w:val="00880661"/>
    <w:rsid w:val="008847D2"/>
    <w:rsid w:val="008B6220"/>
    <w:rsid w:val="00905F12"/>
    <w:rsid w:val="0093089E"/>
    <w:rsid w:val="00993C3D"/>
    <w:rsid w:val="00A17DAF"/>
    <w:rsid w:val="00A81453"/>
    <w:rsid w:val="00A819BC"/>
    <w:rsid w:val="00AF1C9D"/>
    <w:rsid w:val="00B10E0B"/>
    <w:rsid w:val="00B15FB3"/>
    <w:rsid w:val="00B178FB"/>
    <w:rsid w:val="00B36987"/>
    <w:rsid w:val="00B4478F"/>
    <w:rsid w:val="00B65E92"/>
    <w:rsid w:val="00BD09A7"/>
    <w:rsid w:val="00BE170C"/>
    <w:rsid w:val="00BE4CA5"/>
    <w:rsid w:val="00BF3000"/>
    <w:rsid w:val="00C57910"/>
    <w:rsid w:val="00CE1BF1"/>
    <w:rsid w:val="00CF5343"/>
    <w:rsid w:val="00D05356"/>
    <w:rsid w:val="00D371C1"/>
    <w:rsid w:val="00DA1373"/>
    <w:rsid w:val="00DB08FF"/>
    <w:rsid w:val="00DB3D5A"/>
    <w:rsid w:val="00DC3835"/>
    <w:rsid w:val="00DD195E"/>
    <w:rsid w:val="00DD50EE"/>
    <w:rsid w:val="00DF6D29"/>
    <w:rsid w:val="00DF737E"/>
    <w:rsid w:val="00E11E95"/>
    <w:rsid w:val="00E44F97"/>
    <w:rsid w:val="00EB204B"/>
    <w:rsid w:val="00EC53A8"/>
    <w:rsid w:val="00EE33F4"/>
    <w:rsid w:val="00EF7BFC"/>
    <w:rsid w:val="00F21822"/>
    <w:rsid w:val="00F268CB"/>
    <w:rsid w:val="00F50958"/>
    <w:rsid w:val="00F658DA"/>
    <w:rsid w:val="00F7746C"/>
    <w:rsid w:val="00F906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F3020"/>
  <w15:docId w15:val="{B15A6B23-CAE5-4FF2-ADE4-55C41F5B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5E92"/>
    <w:rPr>
      <w:rFonts w:ascii="Titillium Web" w:hAnsi="Titillium Web"/>
    </w:rPr>
  </w:style>
  <w:style w:type="paragraph" w:styleId="berschrift1">
    <w:name w:val="heading 1"/>
    <w:basedOn w:val="Standard"/>
    <w:next w:val="Standard"/>
    <w:link w:val="berschrift1Zchn"/>
    <w:autoRedefine/>
    <w:uiPriority w:val="9"/>
    <w:qFormat/>
    <w:rsid w:val="00B65E92"/>
    <w:pPr>
      <w:keepNext/>
      <w:keepLines/>
      <w:spacing w:before="240" w:after="0"/>
      <w:outlineLvl w:val="0"/>
    </w:pPr>
    <w:rPr>
      <w:rFonts w:ascii="Titillium Web Light" w:eastAsiaTheme="majorEastAsia" w:hAnsi="Titillium Web Light"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11E95"/>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berschrift3">
    <w:name w:val="heading 3"/>
    <w:basedOn w:val="Standard"/>
    <w:next w:val="Standard"/>
    <w:link w:val="berschrift3Zchn"/>
    <w:uiPriority w:val="9"/>
    <w:unhideWhenUsed/>
    <w:qFormat/>
    <w:rsid w:val="007F0652"/>
    <w:pPr>
      <w:keepNext/>
      <w:keepLines/>
      <w:spacing w:before="40" w:after="0"/>
      <w:outlineLvl w:val="2"/>
    </w:pPr>
    <w:rPr>
      <w:rFonts w:asciiTheme="majorHAnsi" w:eastAsiaTheme="majorEastAsia" w:hAnsiTheme="majorHAnsi" w:cstheme="majorBidi"/>
      <w:b/>
      <w:color w:val="1F4D78" w:themeColor="accent1" w:themeShade="7F"/>
      <w:sz w:val="28"/>
      <w:szCs w:val="24"/>
    </w:rPr>
  </w:style>
  <w:style w:type="paragraph" w:styleId="berschrift4">
    <w:name w:val="heading 4"/>
    <w:basedOn w:val="Standard"/>
    <w:next w:val="Standard"/>
    <w:link w:val="berschrift4Zchn"/>
    <w:uiPriority w:val="9"/>
    <w:unhideWhenUsed/>
    <w:qFormat/>
    <w:rsid w:val="00287E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72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7277"/>
  </w:style>
  <w:style w:type="paragraph" w:styleId="Fuzeile">
    <w:name w:val="footer"/>
    <w:basedOn w:val="Standard"/>
    <w:link w:val="FuzeileZchn"/>
    <w:uiPriority w:val="99"/>
    <w:unhideWhenUsed/>
    <w:rsid w:val="002272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7277"/>
  </w:style>
  <w:style w:type="paragraph" w:customStyle="1" w:styleId="Default">
    <w:name w:val="Default"/>
    <w:rsid w:val="00A17DAF"/>
    <w:pPr>
      <w:autoSpaceDE w:val="0"/>
      <w:autoSpaceDN w:val="0"/>
      <w:adjustRightInd w:val="0"/>
      <w:spacing w:after="0" w:line="240" w:lineRule="auto"/>
    </w:pPr>
    <w:rPr>
      <w:rFonts w:ascii="Calibri" w:hAnsi="Calibri" w:cs="Calibri"/>
      <w:color w:val="000000"/>
      <w:sz w:val="24"/>
      <w:szCs w:val="24"/>
    </w:rPr>
  </w:style>
  <w:style w:type="paragraph" w:styleId="KeinLeerraum">
    <w:name w:val="No Spacing"/>
    <w:link w:val="KeinLeerraumZchn"/>
    <w:autoRedefine/>
    <w:uiPriority w:val="1"/>
    <w:qFormat/>
    <w:rsid w:val="00B65E92"/>
    <w:pPr>
      <w:spacing w:after="0" w:line="240" w:lineRule="auto"/>
    </w:pPr>
    <w:rPr>
      <w:rFonts w:ascii="Titillium Web" w:eastAsiaTheme="minorEastAsia" w:hAnsi="Titillium Web"/>
      <w:lang w:eastAsia="de-DE"/>
    </w:rPr>
  </w:style>
  <w:style w:type="character" w:customStyle="1" w:styleId="KeinLeerraumZchn">
    <w:name w:val="Kein Leerraum Zchn"/>
    <w:basedOn w:val="Absatz-Standardschriftart"/>
    <w:link w:val="KeinLeerraum"/>
    <w:uiPriority w:val="1"/>
    <w:rsid w:val="00B65E92"/>
    <w:rPr>
      <w:rFonts w:ascii="Titillium Web" w:eastAsiaTheme="minorEastAsia" w:hAnsi="Titillium Web"/>
      <w:lang w:eastAsia="de-DE"/>
    </w:rPr>
  </w:style>
  <w:style w:type="character" w:customStyle="1" w:styleId="berschrift1Zchn">
    <w:name w:val="Überschrift 1 Zchn"/>
    <w:basedOn w:val="Absatz-Standardschriftart"/>
    <w:link w:val="berschrift1"/>
    <w:uiPriority w:val="9"/>
    <w:rsid w:val="00B65E92"/>
    <w:rPr>
      <w:rFonts w:ascii="Titillium Web Light" w:eastAsiaTheme="majorEastAsia" w:hAnsi="Titillium Web Light"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A17DAF"/>
    <w:pPr>
      <w:outlineLvl w:val="9"/>
    </w:pPr>
    <w:rPr>
      <w:lang w:eastAsia="de-DE"/>
    </w:rPr>
  </w:style>
  <w:style w:type="character" w:styleId="Kommentarzeichen">
    <w:name w:val="annotation reference"/>
    <w:basedOn w:val="Absatz-Standardschriftart"/>
    <w:uiPriority w:val="99"/>
    <w:semiHidden/>
    <w:unhideWhenUsed/>
    <w:rsid w:val="00BF3000"/>
    <w:rPr>
      <w:sz w:val="16"/>
      <w:szCs w:val="16"/>
    </w:rPr>
  </w:style>
  <w:style w:type="paragraph" w:styleId="Kommentartext">
    <w:name w:val="annotation text"/>
    <w:basedOn w:val="Standard"/>
    <w:link w:val="KommentartextZchn"/>
    <w:uiPriority w:val="99"/>
    <w:semiHidden/>
    <w:unhideWhenUsed/>
    <w:rsid w:val="00BF30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3000"/>
    <w:rPr>
      <w:sz w:val="20"/>
      <w:szCs w:val="20"/>
    </w:rPr>
  </w:style>
  <w:style w:type="paragraph" w:styleId="Kommentarthema">
    <w:name w:val="annotation subject"/>
    <w:basedOn w:val="Kommentartext"/>
    <w:next w:val="Kommentartext"/>
    <w:link w:val="KommentarthemaZchn"/>
    <w:uiPriority w:val="99"/>
    <w:semiHidden/>
    <w:unhideWhenUsed/>
    <w:rsid w:val="00BF3000"/>
    <w:rPr>
      <w:b/>
      <w:bCs/>
    </w:rPr>
  </w:style>
  <w:style w:type="character" w:customStyle="1" w:styleId="KommentarthemaZchn">
    <w:name w:val="Kommentarthema Zchn"/>
    <w:basedOn w:val="KommentartextZchn"/>
    <w:link w:val="Kommentarthema"/>
    <w:uiPriority w:val="99"/>
    <w:semiHidden/>
    <w:rsid w:val="00BF3000"/>
    <w:rPr>
      <w:b/>
      <w:bCs/>
      <w:sz w:val="20"/>
      <w:szCs w:val="20"/>
    </w:rPr>
  </w:style>
  <w:style w:type="paragraph" w:styleId="Sprechblasentext">
    <w:name w:val="Balloon Text"/>
    <w:basedOn w:val="Standard"/>
    <w:link w:val="SprechblasentextZchn"/>
    <w:uiPriority w:val="99"/>
    <w:semiHidden/>
    <w:unhideWhenUsed/>
    <w:rsid w:val="00BF300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3000"/>
    <w:rPr>
      <w:rFonts w:ascii="Segoe UI" w:hAnsi="Segoe UI" w:cs="Segoe UI"/>
      <w:sz w:val="18"/>
      <w:szCs w:val="18"/>
    </w:rPr>
  </w:style>
  <w:style w:type="character" w:customStyle="1" w:styleId="berschrift2Zchn">
    <w:name w:val="Überschrift 2 Zchn"/>
    <w:basedOn w:val="Absatz-Standardschriftart"/>
    <w:link w:val="berschrift2"/>
    <w:uiPriority w:val="9"/>
    <w:rsid w:val="00E11E95"/>
    <w:rPr>
      <w:rFonts w:asciiTheme="majorHAnsi" w:eastAsiaTheme="majorEastAsia" w:hAnsiTheme="majorHAnsi" w:cstheme="majorBidi"/>
      <w:color w:val="2E74B5" w:themeColor="accent1" w:themeShade="BF"/>
      <w:sz w:val="28"/>
      <w:szCs w:val="26"/>
    </w:rPr>
  </w:style>
  <w:style w:type="paragraph" w:styleId="Verzeichnis1">
    <w:name w:val="toc 1"/>
    <w:basedOn w:val="Standard"/>
    <w:next w:val="Standard"/>
    <w:autoRedefine/>
    <w:uiPriority w:val="39"/>
    <w:unhideWhenUsed/>
    <w:rsid w:val="00EC53A8"/>
    <w:pPr>
      <w:spacing w:after="100"/>
    </w:pPr>
  </w:style>
  <w:style w:type="paragraph" w:styleId="Verzeichnis2">
    <w:name w:val="toc 2"/>
    <w:basedOn w:val="Standard"/>
    <w:next w:val="Standard"/>
    <w:autoRedefine/>
    <w:uiPriority w:val="39"/>
    <w:unhideWhenUsed/>
    <w:rsid w:val="00EC53A8"/>
    <w:pPr>
      <w:spacing w:after="100"/>
      <w:ind w:left="220"/>
    </w:pPr>
  </w:style>
  <w:style w:type="character" w:styleId="Hyperlink">
    <w:name w:val="Hyperlink"/>
    <w:basedOn w:val="Absatz-Standardschriftart"/>
    <w:uiPriority w:val="99"/>
    <w:unhideWhenUsed/>
    <w:rsid w:val="00EC53A8"/>
    <w:rPr>
      <w:color w:val="0563C1" w:themeColor="hyperlink"/>
      <w:u w:val="single"/>
    </w:rPr>
  </w:style>
  <w:style w:type="character" w:customStyle="1" w:styleId="berschrift3Zchn">
    <w:name w:val="Überschrift 3 Zchn"/>
    <w:basedOn w:val="Absatz-Standardschriftart"/>
    <w:link w:val="berschrift3"/>
    <w:uiPriority w:val="9"/>
    <w:rsid w:val="007F0652"/>
    <w:rPr>
      <w:rFonts w:asciiTheme="majorHAnsi" w:eastAsiaTheme="majorEastAsia" w:hAnsiTheme="majorHAnsi" w:cstheme="majorBidi"/>
      <w:b/>
      <w:color w:val="1F4D78" w:themeColor="accent1" w:themeShade="7F"/>
      <w:sz w:val="28"/>
      <w:szCs w:val="24"/>
    </w:rPr>
  </w:style>
  <w:style w:type="character" w:customStyle="1" w:styleId="berschrift4Zchn">
    <w:name w:val="Überschrift 4 Zchn"/>
    <w:basedOn w:val="Absatz-Standardschriftart"/>
    <w:link w:val="berschrift4"/>
    <w:uiPriority w:val="9"/>
    <w:rsid w:val="00287EC4"/>
    <w:rPr>
      <w:rFonts w:asciiTheme="majorHAnsi" w:eastAsiaTheme="majorEastAsia" w:hAnsiTheme="majorHAnsi" w:cstheme="majorBidi"/>
      <w:i/>
      <w:iCs/>
      <w:color w:val="2E74B5" w:themeColor="accent1" w:themeShade="BF"/>
    </w:rPr>
  </w:style>
  <w:style w:type="paragraph" w:styleId="Verzeichnis3">
    <w:name w:val="toc 3"/>
    <w:basedOn w:val="Standard"/>
    <w:next w:val="Standard"/>
    <w:autoRedefine/>
    <w:uiPriority w:val="39"/>
    <w:unhideWhenUsed/>
    <w:rsid w:val="00E44F97"/>
    <w:pPr>
      <w:spacing w:after="100"/>
      <w:ind w:left="440"/>
    </w:pPr>
  </w:style>
  <w:style w:type="paragraph" w:styleId="Listenabsatz">
    <w:name w:val="List Paragraph"/>
    <w:aliases w:val="Tabellentext bullet"/>
    <w:basedOn w:val="Standard"/>
    <w:uiPriority w:val="34"/>
    <w:qFormat/>
    <w:rsid w:val="00F658DA"/>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36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7D814E328C4DD5B2EBE70B2A017A49"/>
        <w:category>
          <w:name w:val="Allgemein"/>
          <w:gallery w:val="placeholder"/>
        </w:category>
        <w:types>
          <w:type w:val="bbPlcHdr"/>
        </w:types>
        <w:behaviors>
          <w:behavior w:val="content"/>
        </w:behaviors>
        <w:guid w:val="{F30DA967-B502-4313-8B71-0E490416FFA1}"/>
      </w:docPartPr>
      <w:docPartBody>
        <w:p w:rsidR="00034339" w:rsidRDefault="0030503B" w:rsidP="0030503B">
          <w:pPr>
            <w:pStyle w:val="C87D814E328C4DD5B2EBE70B2A017A49"/>
          </w:pPr>
          <w:r>
            <w:rPr>
              <w:rFonts w:asciiTheme="majorHAnsi" w:eastAsiaTheme="majorEastAsia" w:hAnsiTheme="majorHAnsi" w:cstheme="majorBidi"/>
              <w:color w:val="5B9BD5" w:themeColor="accent1"/>
              <w:sz w:val="88"/>
              <w:szCs w:val="88"/>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eb">
    <w:panose1 w:val="00000500000000000000"/>
    <w:charset w:val="00"/>
    <w:family w:val="auto"/>
    <w:pitch w:val="variable"/>
    <w:sig w:usb0="00000007" w:usb1="00000001" w:usb2="00000000" w:usb3="00000000" w:csb0="00000093" w:csb1="00000000"/>
  </w:font>
  <w:font w:name="Titillium Web Light">
    <w:panose1 w:val="000004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eb SemiBold">
    <w:altName w:val="Calibri"/>
    <w:panose1 w:val="00000700000000000000"/>
    <w:charset w:val="00"/>
    <w:family w:val="auto"/>
    <w:pitch w:val="variable"/>
    <w:sig w:usb0="00000007" w:usb1="00000001"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3B"/>
    <w:rsid w:val="00034339"/>
    <w:rsid w:val="0030503B"/>
    <w:rsid w:val="0033513E"/>
    <w:rsid w:val="00524335"/>
    <w:rsid w:val="008944F7"/>
    <w:rsid w:val="008E59E4"/>
    <w:rsid w:val="00AB26F1"/>
    <w:rsid w:val="00BF4790"/>
    <w:rsid w:val="00D24B6B"/>
    <w:rsid w:val="00DE3869"/>
    <w:rsid w:val="00ED3F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91F21ED185A40908A9DCCD9889DEFDE">
    <w:name w:val="591F21ED185A40908A9DCCD9889DEFDE"/>
    <w:rsid w:val="0030503B"/>
  </w:style>
  <w:style w:type="paragraph" w:customStyle="1" w:styleId="664C19C138E942BBB8EC6B15F3783A44">
    <w:name w:val="664C19C138E942BBB8EC6B15F3783A44"/>
    <w:rsid w:val="0030503B"/>
  </w:style>
  <w:style w:type="paragraph" w:customStyle="1" w:styleId="A03AB9A333B44DD0BE15957C1649CDCD">
    <w:name w:val="A03AB9A333B44DD0BE15957C1649CDCD"/>
    <w:rsid w:val="0030503B"/>
  </w:style>
  <w:style w:type="paragraph" w:customStyle="1" w:styleId="F6E6702637B44F279B387EFBD9042E81">
    <w:name w:val="F6E6702637B44F279B387EFBD9042E81"/>
    <w:rsid w:val="0030503B"/>
  </w:style>
  <w:style w:type="paragraph" w:customStyle="1" w:styleId="C87D814E328C4DD5B2EBE70B2A017A49">
    <w:name w:val="C87D814E328C4DD5B2EBE70B2A017A49"/>
    <w:rsid w:val="0030503B"/>
  </w:style>
  <w:style w:type="paragraph" w:customStyle="1" w:styleId="01601BC5F7974FF4B42B46F897A1F786">
    <w:name w:val="01601BC5F7974FF4B42B46F897A1F786"/>
    <w:rsid w:val="0030503B"/>
  </w:style>
  <w:style w:type="paragraph" w:customStyle="1" w:styleId="C99B085085DD4720870CF2427CEBC037">
    <w:name w:val="C99B085085DD4720870CF2427CEBC037"/>
    <w:rsid w:val="0030503B"/>
  </w:style>
  <w:style w:type="paragraph" w:customStyle="1" w:styleId="2F1DE047ACEB4AF4B5F2DB2A62A6DD74">
    <w:name w:val="2F1DE047ACEB4AF4B5F2DB2A62A6DD74"/>
    <w:rsid w:val="0030503B"/>
  </w:style>
  <w:style w:type="paragraph" w:customStyle="1" w:styleId="15597EDD3B264A38BE7644AB159135D9">
    <w:name w:val="15597EDD3B264A38BE7644AB159135D9"/>
    <w:rsid w:val="00AB26F1"/>
  </w:style>
  <w:style w:type="paragraph" w:customStyle="1" w:styleId="500D3BF077CD4E0F91058BA05B594762">
    <w:name w:val="500D3BF077CD4E0F91058BA05B594762"/>
    <w:rsid w:val="00AB26F1"/>
  </w:style>
  <w:style w:type="paragraph" w:customStyle="1" w:styleId="1CC7E5362CE040A19B5B98930DFE4E91">
    <w:name w:val="1CC7E5362CE040A19B5B98930DFE4E91"/>
    <w:rsid w:val="00AB26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24903E-B358-42E9-AFDC-7E9FFC68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4349</Words>
  <Characters>27402</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Hygienekonzept zur Vermeidung von SARS-CoV-2-Infektionen</vt:lpstr>
    </vt:vector>
  </TitlesOfParts>
  <Company>Handwerkskammer Dortmund</Company>
  <LinksUpToDate>false</LinksUpToDate>
  <CharactersWithSpaces>31688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Hygienekonzept zur Vermeidung von SARS-CoV-2-Infektionen</dc:title>
  <dc:subject>Gemäß § 36 Infektionsschutzgesetz</dc:subject>
  <dc:creator>Tobias Schmidt, Olesja Mouelhi-Ort</dc:creator>
  <cp:lastModifiedBy>Nutzer Work</cp:lastModifiedBy>
  <cp:revision>6</cp:revision>
  <cp:lastPrinted>2020-05-20T11:54:00Z</cp:lastPrinted>
  <dcterms:created xsi:type="dcterms:W3CDTF">2020-05-20T11:18:00Z</dcterms:created>
  <dcterms:modified xsi:type="dcterms:W3CDTF">2020-05-20T11:55:00Z</dcterms:modified>
</cp:coreProperties>
</file>